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38A48">
      <w:pPr>
        <w:pBdr>
          <w:top w:val="none" w:color="000000" w:sz="0" w:space="0"/>
          <w:left w:val="none" w:color="000000" w:sz="0" w:space="0"/>
          <w:bottom w:val="none" w:color="000000" w:sz="0" w:space="0"/>
          <w:right w:val="none" w:color="000000" w:sz="0" w:space="0"/>
        </w:pBdr>
        <w:jc w:val="center"/>
      </w:pPr>
      <w:bookmarkStart w:id="0" w:name="_GoBack"/>
      <w:bookmarkEnd w:id="0"/>
      <w:r>
        <w:rPr>
          <w:rFonts w:hint="eastAsia" w:ascii="宋体" w:hAnsi="宋体" w:eastAsia="宋体" w:cs="宋体"/>
          <w:b/>
          <w:color w:val="000000"/>
          <w:sz w:val="28"/>
        </w:rPr>
        <w:t>进</w:t>
      </w:r>
      <w:r>
        <w:rPr>
          <w:rFonts w:ascii="宋体" w:hAnsi="宋体" w:eastAsia="宋体" w:cs="宋体"/>
          <w:b/>
          <w:color w:val="000000"/>
          <w:sz w:val="28"/>
        </w:rPr>
        <w:t>口设备供货及技术服务协议 （进口设备）</w:t>
      </w:r>
    </w:p>
    <w:p w14:paraId="48ACBC8E">
      <w:pPr>
        <w:pBdr>
          <w:top w:val="none" w:color="000000" w:sz="0" w:space="0"/>
          <w:left w:val="none" w:color="000000" w:sz="0" w:space="0"/>
          <w:bottom w:val="none" w:color="000000" w:sz="0" w:space="0"/>
          <w:right w:val="none" w:color="000000" w:sz="0" w:space="0"/>
        </w:pBdr>
        <w:jc w:val="both"/>
      </w:pPr>
      <w:r>
        <w:rPr>
          <w:rFonts w:ascii="宋体" w:hAnsi="宋体" w:eastAsia="宋体" w:cs="宋体"/>
          <w:color w:val="000000"/>
          <w:sz w:val="21"/>
        </w:rPr>
        <w:t>                 </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753"/>
        <w:gridCol w:w="3553"/>
      </w:tblGrid>
      <w:tr w14:paraId="41D9D8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328" w:type="dxa"/>
            <w:tcBorders>
              <w:top w:val="nil"/>
              <w:left w:val="nil"/>
              <w:bottom w:val="nil"/>
              <w:right w:val="nil"/>
            </w:tcBorders>
            <w:tcMar>
              <w:top w:w="0" w:type="dxa"/>
              <w:left w:w="108" w:type="dxa"/>
              <w:bottom w:w="0" w:type="dxa"/>
              <w:right w:w="108" w:type="dxa"/>
            </w:tcMar>
          </w:tcPr>
          <w:p w14:paraId="25CA699B">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甲方：</w:t>
            </w:r>
            <w:r>
              <w:rPr>
                <w:rFonts w:ascii="宋体" w:hAnsi="宋体" w:eastAsia="宋体" w:cs="宋体"/>
                <w:b/>
                <w:color w:val="000000"/>
                <w:sz w:val="21"/>
              </w:rPr>
              <w:t>南京邮电大学</w:t>
            </w:r>
          </w:p>
        </w:tc>
        <w:tc>
          <w:tcPr>
            <w:tcW w:w="3600" w:type="dxa"/>
            <w:tcBorders>
              <w:top w:val="nil"/>
              <w:left w:val="nil"/>
              <w:bottom w:val="nil"/>
              <w:right w:val="nil"/>
            </w:tcBorders>
            <w:tcMar>
              <w:top w:w="0" w:type="dxa"/>
              <w:left w:w="108" w:type="dxa"/>
              <w:bottom w:w="0" w:type="dxa"/>
              <w:right w:w="108" w:type="dxa"/>
            </w:tcMar>
          </w:tcPr>
          <w:p w14:paraId="614226DD">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招标编号：</w:t>
            </w:r>
            <w:r>
              <w:rPr>
                <w:rFonts w:eastAsia="宋体"/>
                <w:color w:val="000000"/>
                <w:sz w:val="21"/>
                <w:u w:val="single"/>
              </w:rPr>
              <w:t>JSZC-320000-HWZX-G2026-0375</w:t>
            </w:r>
          </w:p>
        </w:tc>
      </w:tr>
      <w:tr w14:paraId="22D5FA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328" w:type="dxa"/>
            <w:tcBorders>
              <w:top w:val="nil"/>
              <w:left w:val="nil"/>
              <w:bottom w:val="nil"/>
              <w:right w:val="nil"/>
            </w:tcBorders>
            <w:tcMar>
              <w:top w:w="0" w:type="dxa"/>
              <w:left w:w="108" w:type="dxa"/>
              <w:bottom w:w="0" w:type="dxa"/>
              <w:right w:w="108" w:type="dxa"/>
            </w:tcMar>
          </w:tcPr>
          <w:p w14:paraId="5D418C63">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乙方：广东省科控仪器设备有限公司</w:t>
            </w:r>
          </w:p>
        </w:tc>
        <w:tc>
          <w:tcPr>
            <w:tcW w:w="3600" w:type="dxa"/>
            <w:tcBorders>
              <w:top w:val="nil"/>
              <w:left w:val="nil"/>
              <w:bottom w:val="nil"/>
              <w:right w:val="nil"/>
            </w:tcBorders>
            <w:tcMar>
              <w:top w:w="0" w:type="dxa"/>
              <w:left w:w="108" w:type="dxa"/>
              <w:bottom w:w="0" w:type="dxa"/>
              <w:right w:w="108" w:type="dxa"/>
            </w:tcMar>
          </w:tcPr>
          <w:p w14:paraId="36B397DE">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协议编号：</w:t>
            </w:r>
            <w:r>
              <w:rPr>
                <w:rFonts w:ascii="宋体" w:hAnsi="宋体" w:eastAsia="宋体" w:cs="宋体"/>
                <w:color w:val="000000"/>
                <w:sz w:val="21"/>
                <w:u w:val="single"/>
              </w:rPr>
              <w:t> </w:t>
            </w:r>
            <w:r>
              <w:rPr>
                <w:rFonts w:eastAsia="宋体"/>
                <w:color w:val="000000"/>
                <w:sz w:val="21"/>
                <w:u w:val="single"/>
              </w:rPr>
              <w:t>20260805</w:t>
            </w:r>
            <w:r>
              <w:rPr>
                <w:rFonts w:ascii="宋体" w:hAnsi="宋体" w:eastAsia="宋体" w:cs="宋体"/>
                <w:color w:val="000000"/>
                <w:sz w:val="21"/>
                <w:u w:val="single"/>
              </w:rPr>
              <w:t>    </w:t>
            </w:r>
          </w:p>
        </w:tc>
      </w:tr>
    </w:tbl>
    <w:p w14:paraId="05FF0004">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 </w:t>
      </w:r>
    </w:p>
    <w:p w14:paraId="22B05745">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经甲乙双方友好协商，就甲方向乙方购买进口</w:t>
      </w:r>
      <w:r>
        <w:rPr>
          <w:rFonts w:ascii="宋体" w:hAnsi="宋体" w:eastAsia="宋体" w:cs="宋体"/>
          <w:color w:val="000000"/>
          <w:sz w:val="21"/>
          <w:u w:val="single"/>
        </w:rPr>
        <w:t> 高分辨率三维分析系统 </w:t>
      </w:r>
      <w:r>
        <w:rPr>
          <w:rFonts w:ascii="宋体" w:hAnsi="宋体" w:eastAsia="宋体" w:cs="宋体"/>
          <w:color w:val="000000"/>
          <w:sz w:val="21"/>
        </w:rPr>
        <w:t>及售后服务等事宜达成以下协议：</w:t>
      </w:r>
    </w:p>
    <w:p w14:paraId="6210C649">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第一条：</w:t>
      </w:r>
      <w:r>
        <w:rPr>
          <w:rFonts w:ascii="宋体" w:hAnsi="宋体" w:eastAsia="宋体" w:cs="宋体"/>
          <w:color w:val="000000"/>
          <w:sz w:val="21"/>
        </w:rPr>
        <w:t>设备名称、型号规格、配置及技术指标要求、数量及成交价格</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93"/>
        <w:gridCol w:w="1964"/>
        <w:gridCol w:w="780"/>
        <w:gridCol w:w="1701"/>
        <w:gridCol w:w="1326"/>
        <w:gridCol w:w="1722"/>
      </w:tblGrid>
      <w:tr w14:paraId="1F176E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6" w:hRule="atLeast"/>
        </w:trPr>
        <w:tc>
          <w:tcPr>
            <w:tcW w:w="79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93BEA7">
            <w:pPr>
              <w:pBdr>
                <w:top w:val="none" w:color="000000" w:sz="0" w:space="0"/>
                <w:left w:val="none" w:color="000000" w:sz="0" w:space="0"/>
                <w:bottom w:val="none" w:color="000000" w:sz="0" w:space="0"/>
                <w:right w:val="none" w:color="000000" w:sz="0" w:space="0"/>
              </w:pBdr>
              <w:spacing w:line="85" w:lineRule="atLeast"/>
              <w:ind w:firstLine="105"/>
              <w:jc w:val="center"/>
              <w:rPr>
                <w:rFonts w:eastAsia="宋体"/>
              </w:rPr>
            </w:pPr>
            <w:r>
              <w:rPr>
                <w:rFonts w:eastAsia="宋体"/>
                <w:color w:val="000000"/>
                <w:sz w:val="21"/>
              </w:rPr>
              <w:t>序号</w:t>
            </w:r>
          </w:p>
        </w:tc>
        <w:tc>
          <w:tcPr>
            <w:tcW w:w="196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705E83C">
            <w:pPr>
              <w:pBdr>
                <w:top w:val="none" w:color="000000" w:sz="0" w:space="0"/>
                <w:left w:val="none" w:color="000000" w:sz="0" w:space="0"/>
                <w:bottom w:val="none" w:color="000000" w:sz="0" w:space="0"/>
                <w:right w:val="none" w:color="000000" w:sz="0" w:space="0"/>
              </w:pBdr>
              <w:spacing w:line="85" w:lineRule="atLeast"/>
              <w:jc w:val="center"/>
              <w:rPr>
                <w:rFonts w:eastAsia="宋体"/>
              </w:rPr>
            </w:pPr>
            <w:r>
              <w:rPr>
                <w:rFonts w:eastAsia="宋体"/>
                <w:color w:val="000000"/>
                <w:sz w:val="21"/>
              </w:rPr>
              <w:t>设备名称\型号</w:t>
            </w: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AAF7EC">
            <w:pPr>
              <w:pBdr>
                <w:top w:val="none" w:color="000000" w:sz="0" w:space="0"/>
                <w:left w:val="none" w:color="000000" w:sz="0" w:space="0"/>
                <w:bottom w:val="none" w:color="000000" w:sz="0" w:space="0"/>
                <w:right w:val="none" w:color="000000" w:sz="0" w:space="0"/>
              </w:pBdr>
              <w:spacing w:line="85" w:lineRule="atLeast"/>
              <w:jc w:val="center"/>
              <w:rPr>
                <w:rFonts w:eastAsia="宋体"/>
              </w:rPr>
            </w:pPr>
            <w:r>
              <w:rPr>
                <w:rFonts w:eastAsia="宋体"/>
                <w:color w:val="000000"/>
                <w:sz w:val="21"/>
              </w:rPr>
              <w:t>数量</w:t>
            </w:r>
          </w:p>
        </w:tc>
        <w:tc>
          <w:tcPr>
            <w:tcW w:w="170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FE7926E">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000000"/>
                <w:sz w:val="21"/>
                <w:lang w:val="en-US" w:eastAsia="zh-CN"/>
              </w:rPr>
            </w:pPr>
            <w:r>
              <w:rPr>
                <w:rFonts w:hint="eastAsia" w:eastAsia="宋体"/>
                <w:color w:val="000000"/>
                <w:sz w:val="21"/>
                <w:lang w:val="en-US" w:eastAsia="zh-CN"/>
              </w:rPr>
              <w:t>货物单价</w:t>
            </w:r>
          </w:p>
          <w:p w14:paraId="466180CE">
            <w:pPr>
              <w:pBdr>
                <w:top w:val="none" w:color="000000" w:sz="0" w:space="0"/>
                <w:left w:val="none" w:color="000000" w:sz="0" w:space="0"/>
                <w:bottom w:val="none" w:color="000000" w:sz="0" w:space="0"/>
                <w:right w:val="none" w:color="000000" w:sz="0" w:space="0"/>
              </w:pBdr>
              <w:spacing w:line="85" w:lineRule="atLeast"/>
              <w:jc w:val="center"/>
              <w:rPr>
                <w:rFonts w:eastAsia="宋体"/>
              </w:rPr>
            </w:pPr>
            <w:r>
              <w:rPr>
                <w:rFonts w:eastAsia="宋体"/>
                <w:color w:val="000000"/>
                <w:sz w:val="21"/>
              </w:rPr>
              <w:t>（人民币）</w:t>
            </w:r>
          </w:p>
        </w:tc>
        <w:tc>
          <w:tcPr>
            <w:tcW w:w="132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972652">
            <w:pPr>
              <w:pBdr>
                <w:top w:val="none" w:color="000000" w:sz="0" w:space="0"/>
                <w:left w:val="none" w:color="000000" w:sz="0" w:space="0"/>
                <w:bottom w:val="none" w:color="000000" w:sz="0" w:space="0"/>
                <w:right w:val="none" w:color="000000" w:sz="0" w:space="0"/>
              </w:pBdr>
              <w:jc w:val="center"/>
              <w:rPr>
                <w:rFonts w:eastAsia="宋体"/>
              </w:rPr>
            </w:pPr>
            <w:r>
              <w:rPr>
                <w:rFonts w:eastAsia="宋体"/>
                <w:color w:val="000000"/>
                <w:sz w:val="21"/>
              </w:rPr>
              <w:t>生产厂家</w:t>
            </w:r>
          </w:p>
        </w:tc>
        <w:tc>
          <w:tcPr>
            <w:tcW w:w="172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A5D635">
            <w:pPr>
              <w:pBdr>
                <w:top w:val="none" w:color="000000" w:sz="0" w:space="0"/>
                <w:left w:val="none" w:color="000000" w:sz="0" w:space="0"/>
                <w:bottom w:val="none" w:color="000000" w:sz="0" w:space="0"/>
                <w:right w:val="none" w:color="000000" w:sz="0" w:space="0"/>
              </w:pBdr>
              <w:spacing w:line="85" w:lineRule="atLeast"/>
              <w:ind w:firstLine="105"/>
              <w:jc w:val="center"/>
              <w:rPr>
                <w:rFonts w:eastAsia="宋体"/>
              </w:rPr>
            </w:pPr>
            <w:r>
              <w:rPr>
                <w:rFonts w:eastAsia="宋体"/>
                <w:color w:val="000000"/>
                <w:sz w:val="21"/>
              </w:rPr>
              <w:t>生产地</w:t>
            </w:r>
          </w:p>
        </w:tc>
      </w:tr>
      <w:tr w14:paraId="7ABC58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79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F6BD4D">
            <w:pPr>
              <w:pBdr>
                <w:top w:val="none" w:color="000000" w:sz="0" w:space="0"/>
                <w:left w:val="none" w:color="000000" w:sz="0" w:space="0"/>
                <w:bottom w:val="none" w:color="000000" w:sz="0" w:space="0"/>
                <w:right w:val="none" w:color="000000" w:sz="0" w:space="0"/>
              </w:pBdr>
              <w:jc w:val="center"/>
              <w:rPr>
                <w:rFonts w:eastAsia="宋体"/>
              </w:rPr>
            </w:pPr>
            <w:r>
              <w:rPr>
                <w:rFonts w:eastAsia="宋体"/>
                <w:color w:val="000000"/>
                <w:sz w:val="21"/>
              </w:rPr>
              <w:t>1</w:t>
            </w:r>
          </w:p>
        </w:tc>
        <w:tc>
          <w:tcPr>
            <w:tcW w:w="196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7F89F9">
            <w:pPr>
              <w:pBdr>
                <w:top w:val="none" w:color="000000" w:sz="0" w:space="0"/>
                <w:left w:val="none" w:color="000000" w:sz="0" w:space="0"/>
                <w:bottom w:val="none" w:color="000000" w:sz="0" w:space="0"/>
                <w:right w:val="none" w:color="000000" w:sz="0" w:space="0"/>
              </w:pBdr>
              <w:jc w:val="center"/>
              <w:rPr>
                <w:rFonts w:eastAsia="宋体"/>
              </w:rPr>
            </w:pPr>
            <w:r>
              <w:rPr>
                <w:rFonts w:eastAsia="宋体"/>
              </w:rPr>
              <w:t>X射线显微镜</w:t>
            </w:r>
          </w:p>
          <w:p w14:paraId="74C91187">
            <w:pPr>
              <w:pBdr>
                <w:top w:val="none" w:color="000000" w:sz="0" w:space="0"/>
                <w:left w:val="none" w:color="000000" w:sz="0" w:space="0"/>
                <w:bottom w:val="none" w:color="000000" w:sz="0" w:space="0"/>
                <w:right w:val="none" w:color="000000" w:sz="0" w:space="0"/>
              </w:pBdr>
              <w:jc w:val="center"/>
              <w:rPr>
                <w:rFonts w:eastAsia="宋体"/>
              </w:rPr>
            </w:pPr>
            <w:r>
              <w:rPr>
                <w:rFonts w:eastAsia="宋体"/>
              </w:rPr>
              <w:t>VersaXRM 615</w:t>
            </w:r>
          </w:p>
        </w:tc>
        <w:tc>
          <w:tcPr>
            <w:tcW w:w="78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B27116">
            <w:pPr>
              <w:pBdr>
                <w:top w:val="none" w:color="000000" w:sz="0" w:space="0"/>
                <w:left w:val="none" w:color="000000" w:sz="0" w:space="0"/>
                <w:bottom w:val="none" w:color="000000" w:sz="0" w:space="0"/>
                <w:right w:val="none" w:color="000000" w:sz="0" w:space="0"/>
              </w:pBdr>
              <w:jc w:val="center"/>
              <w:rPr>
                <w:rFonts w:eastAsia="宋体"/>
              </w:rPr>
            </w:pPr>
            <w:r>
              <w:rPr>
                <w:rFonts w:eastAsia="宋体"/>
                <w:color w:val="000000"/>
                <w:sz w:val="21"/>
              </w:rPr>
              <w:t>1</w:t>
            </w:r>
          </w:p>
        </w:tc>
        <w:tc>
          <w:tcPr>
            <w:tcW w:w="170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A93B60">
            <w:pPr>
              <w:pBdr>
                <w:top w:val="none" w:color="000000" w:sz="0" w:space="0"/>
                <w:left w:val="none" w:color="000000" w:sz="0" w:space="0"/>
                <w:bottom w:val="none" w:color="000000" w:sz="0" w:space="0"/>
                <w:right w:val="none" w:color="000000" w:sz="0" w:space="0"/>
              </w:pBdr>
              <w:jc w:val="center"/>
              <w:rPr>
                <w:rFonts w:eastAsia="宋体"/>
              </w:rPr>
            </w:pPr>
            <w:r>
              <w:rPr>
                <w:rFonts w:eastAsia="宋体"/>
                <w:color w:val="000000"/>
                <w:sz w:val="21"/>
              </w:rPr>
              <w:t>9,895,000.00</w:t>
            </w:r>
          </w:p>
        </w:tc>
        <w:tc>
          <w:tcPr>
            <w:tcW w:w="132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57984F">
            <w:pPr>
              <w:pBdr>
                <w:top w:val="none" w:color="000000" w:sz="0" w:space="0"/>
                <w:left w:val="none" w:color="000000" w:sz="0" w:space="0"/>
                <w:bottom w:val="none" w:color="000000" w:sz="0" w:space="0"/>
                <w:right w:val="none" w:color="000000" w:sz="0" w:space="0"/>
              </w:pBdr>
              <w:jc w:val="center"/>
              <w:rPr>
                <w:rFonts w:eastAsia="宋体"/>
              </w:rPr>
            </w:pPr>
            <w:r>
              <w:rPr>
                <w:rFonts w:hint="eastAsia" w:eastAsia="宋体"/>
                <w:color w:val="000000"/>
                <w:sz w:val="21"/>
              </w:rPr>
              <w:t>Zeiss</w:t>
            </w:r>
            <w:r>
              <w:rPr>
                <w:rFonts w:eastAsia="宋体"/>
                <w:color w:val="000000"/>
                <w:sz w:val="21"/>
              </w:rPr>
              <w:t> </w:t>
            </w:r>
          </w:p>
        </w:tc>
        <w:tc>
          <w:tcPr>
            <w:tcW w:w="172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ADEA5">
            <w:pPr>
              <w:pBdr>
                <w:top w:val="none" w:color="000000" w:sz="0" w:space="0"/>
                <w:left w:val="none" w:color="000000" w:sz="0" w:space="0"/>
                <w:bottom w:val="none" w:color="000000" w:sz="0" w:space="0"/>
                <w:right w:val="none" w:color="000000" w:sz="0" w:space="0"/>
              </w:pBdr>
              <w:tabs>
                <w:tab w:val="left" w:pos="792"/>
              </w:tabs>
              <w:spacing w:line="85" w:lineRule="atLeast"/>
              <w:ind w:right="-52"/>
              <w:jc w:val="center"/>
              <w:rPr>
                <w:rFonts w:eastAsia="宋体"/>
              </w:rPr>
            </w:pPr>
            <w:r>
              <w:rPr>
                <w:rFonts w:eastAsia="宋体"/>
                <w:color w:val="000000"/>
                <w:sz w:val="21"/>
              </w:rPr>
              <w:t>德国</w:t>
            </w:r>
          </w:p>
        </w:tc>
      </w:tr>
      <w:tr w14:paraId="6E2EB5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793"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0FAD544">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kern w:val="0"/>
                <w:sz w:val="20"/>
                <w:szCs w:val="20"/>
                <w:lang w:val="en-US" w:eastAsia="zh-CN" w:bidi="ar-SA"/>
                <w14:ligatures w14:val="none"/>
              </w:rPr>
            </w:pPr>
            <w:r>
              <w:rPr>
                <w:rFonts w:eastAsia="宋体"/>
                <w:color w:val="000000"/>
                <w:sz w:val="21"/>
              </w:rPr>
              <w:t>2</w:t>
            </w:r>
          </w:p>
        </w:tc>
        <w:tc>
          <w:tcPr>
            <w:tcW w:w="1964"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84571B2">
            <w:pPr>
              <w:pBdr>
                <w:top w:val="none" w:color="000000" w:sz="0" w:space="0"/>
                <w:left w:val="none" w:color="000000" w:sz="0" w:space="0"/>
                <w:bottom w:val="none" w:color="000000" w:sz="0" w:space="0"/>
                <w:right w:val="none" w:color="000000" w:sz="0" w:space="0"/>
              </w:pBdr>
              <w:jc w:val="center"/>
              <w:rPr>
                <w:rFonts w:eastAsia="宋体"/>
              </w:rPr>
            </w:pPr>
            <w:r>
              <w:rPr>
                <w:rFonts w:eastAsia="宋体"/>
              </w:rPr>
              <w:t>激光共聚焦显微镜</w:t>
            </w:r>
          </w:p>
          <w:p w14:paraId="099C20B1">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kern w:val="0"/>
                <w:sz w:val="20"/>
                <w:szCs w:val="20"/>
                <w:lang w:val="en-US" w:eastAsia="zh-CN" w:bidi="ar-SA"/>
                <w14:ligatures w14:val="none"/>
              </w:rPr>
            </w:pPr>
            <w:r>
              <w:rPr>
                <w:rFonts w:eastAsia="宋体"/>
              </w:rPr>
              <w:t>LSM 910</w:t>
            </w:r>
          </w:p>
        </w:tc>
        <w:tc>
          <w:tcPr>
            <w:tcW w:w="780"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96D5984">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kern w:val="0"/>
                <w:sz w:val="20"/>
                <w:szCs w:val="20"/>
                <w:lang w:val="en-US" w:eastAsia="zh-CN" w:bidi="ar-SA"/>
                <w14:ligatures w14:val="none"/>
              </w:rPr>
            </w:pPr>
            <w:r>
              <w:rPr>
                <w:rFonts w:hint="eastAsia" w:eastAsia="宋体"/>
              </w:rPr>
              <w:t>1</w:t>
            </w:r>
          </w:p>
        </w:tc>
        <w:tc>
          <w:tcPr>
            <w:tcW w:w="1701"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B4A1912">
            <w:pPr>
              <w:pBdr>
                <w:top w:val="none" w:color="000000" w:sz="0" w:space="0"/>
                <w:left w:val="none" w:color="000000" w:sz="0" w:space="0"/>
                <w:bottom w:val="none" w:color="000000" w:sz="0" w:space="0"/>
                <w:right w:val="none" w:color="000000" w:sz="0" w:space="0"/>
              </w:pBdr>
              <w:jc w:val="center"/>
              <w:rPr>
                <w:rFonts w:ascii="Times New Roman" w:hAnsi="Times New Roman" w:eastAsia="宋体" w:cs="Times New Roman"/>
                <w:kern w:val="0"/>
                <w:sz w:val="20"/>
                <w:szCs w:val="20"/>
                <w:lang w:val="en-US" w:eastAsia="zh-CN" w:bidi="ar-SA"/>
                <w14:ligatures w14:val="none"/>
              </w:rPr>
            </w:pPr>
            <w:r>
              <w:rPr>
                <w:rFonts w:hint="eastAsia" w:eastAsia="宋体"/>
                <w:color w:val="000000"/>
                <w:sz w:val="21"/>
              </w:rPr>
              <w:t>1,</w:t>
            </w:r>
            <w:r>
              <w:rPr>
                <w:rFonts w:hint="eastAsia" w:eastAsia="宋体"/>
                <w:color w:val="000000"/>
                <w:sz w:val="21"/>
                <w:lang w:val="en-US" w:eastAsia="zh-CN"/>
              </w:rPr>
              <w:t>58</w:t>
            </w:r>
            <w:r>
              <w:rPr>
                <w:rFonts w:hint="eastAsia" w:eastAsia="宋体"/>
                <w:color w:val="000000"/>
                <w:sz w:val="21"/>
              </w:rPr>
              <w:t>0,000.00</w:t>
            </w:r>
          </w:p>
        </w:tc>
        <w:tc>
          <w:tcPr>
            <w:tcW w:w="1326"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49F3E85">
            <w:pPr>
              <w:pBdr>
                <w:top w:val="none" w:color="000000" w:sz="0" w:space="0"/>
                <w:left w:val="none" w:color="000000" w:sz="0" w:space="0"/>
                <w:bottom w:val="none" w:color="000000" w:sz="0" w:space="0"/>
                <w:right w:val="none" w:color="000000" w:sz="0" w:space="0"/>
              </w:pBdr>
              <w:jc w:val="center"/>
              <w:rPr>
                <w:rFonts w:hint="eastAsia" w:ascii="Times New Roman" w:hAnsi="Times New Roman" w:eastAsia="宋体" w:cs="Times New Roman"/>
                <w:kern w:val="0"/>
                <w:sz w:val="20"/>
                <w:szCs w:val="20"/>
                <w:lang w:val="en-US" w:eastAsia="zh-CN" w:bidi="ar-SA"/>
                <w14:ligatures w14:val="none"/>
              </w:rPr>
            </w:pPr>
            <w:r>
              <w:rPr>
                <w:rFonts w:hint="eastAsia" w:eastAsia="宋体"/>
                <w:color w:val="000000"/>
                <w:sz w:val="21"/>
              </w:rPr>
              <w:t>Zeiss</w:t>
            </w:r>
          </w:p>
        </w:tc>
        <w:tc>
          <w:tcPr>
            <w:tcW w:w="1722" w:type="dxa"/>
            <w:tcBorders>
              <w:top w:val="nil"/>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D900D3B">
            <w:pPr>
              <w:pBdr>
                <w:top w:val="none" w:color="000000" w:sz="0" w:space="0"/>
                <w:left w:val="none" w:color="000000" w:sz="0" w:space="0"/>
                <w:bottom w:val="none" w:color="000000" w:sz="0" w:space="0"/>
                <w:right w:val="none" w:color="000000" w:sz="0" w:space="0"/>
              </w:pBdr>
              <w:tabs>
                <w:tab w:val="left" w:pos="792"/>
              </w:tabs>
              <w:spacing w:line="85" w:lineRule="atLeast"/>
              <w:ind w:right="-52" w:rightChars="0"/>
              <w:jc w:val="center"/>
              <w:rPr>
                <w:rFonts w:ascii="Times New Roman" w:hAnsi="Times New Roman" w:eastAsia="宋体" w:cs="Times New Roman"/>
                <w:kern w:val="0"/>
                <w:sz w:val="20"/>
                <w:szCs w:val="20"/>
                <w:lang w:val="en-US" w:eastAsia="zh-CN" w:bidi="ar-SA"/>
                <w14:ligatures w14:val="none"/>
              </w:rPr>
            </w:pPr>
            <w:r>
              <w:rPr>
                <w:rFonts w:eastAsia="宋体"/>
                <w:color w:val="000000"/>
                <w:sz w:val="21"/>
              </w:rPr>
              <w:t>德国</w:t>
            </w:r>
          </w:p>
        </w:tc>
      </w:tr>
      <w:tr w14:paraId="4F0DC3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8286" w:type="dxa"/>
            <w:gridSpan w:val="6"/>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AFBDB5">
            <w:pPr>
              <w:pBdr>
                <w:top w:val="none" w:color="000000" w:sz="0" w:space="0"/>
                <w:left w:val="none" w:color="000000" w:sz="0" w:space="0"/>
                <w:bottom w:val="none" w:color="000000" w:sz="0" w:space="0"/>
                <w:right w:val="none" w:color="000000" w:sz="0" w:space="0"/>
              </w:pBdr>
              <w:tabs>
                <w:tab w:val="left" w:pos="792"/>
              </w:tabs>
              <w:spacing w:line="85" w:lineRule="atLeast"/>
              <w:ind w:right="-52" w:firstLine="400" w:firstLineChars="200"/>
              <w:jc w:val="both"/>
              <w:rPr>
                <w:rFonts w:hint="default" w:eastAsia="宋体"/>
                <w:lang w:val="en-US" w:eastAsia="zh-CN"/>
              </w:rPr>
            </w:pPr>
            <w:r>
              <w:rPr>
                <w:rFonts w:hint="eastAsia" w:eastAsia="宋体"/>
                <w:lang w:val="en-US" w:eastAsia="zh-CN"/>
              </w:rPr>
              <w:t>项目中标价：RMB11,495,000.00，其中</w:t>
            </w:r>
            <w:r>
              <w:rPr>
                <w:rFonts w:hint="eastAsia" w:eastAsia="宋体"/>
              </w:rPr>
              <w:t>货物总价</w:t>
            </w:r>
            <w:r>
              <w:rPr>
                <w:rFonts w:hint="eastAsia" w:eastAsia="宋体"/>
                <w:lang w:eastAsia="zh-CN"/>
              </w:rPr>
              <w:t>：</w:t>
            </w:r>
            <w:r>
              <w:rPr>
                <w:rFonts w:hint="eastAsia" w:eastAsia="宋体"/>
                <w:lang w:val="en-US" w:eastAsia="zh-CN"/>
              </w:rPr>
              <w:t>RMB11,475,000.00，</w:t>
            </w:r>
            <w:r>
              <w:rPr>
                <w:rFonts w:hint="eastAsia" w:eastAsia="宋体"/>
              </w:rPr>
              <w:t>外贸代理包干服务费</w:t>
            </w:r>
            <w:r>
              <w:rPr>
                <w:rFonts w:hint="eastAsia" w:eastAsia="宋体"/>
                <w:lang w:eastAsia="zh-CN"/>
              </w:rPr>
              <w:t>：</w:t>
            </w:r>
            <w:r>
              <w:rPr>
                <w:rFonts w:hint="eastAsia" w:eastAsia="宋体"/>
                <w:lang w:val="en-US" w:eastAsia="zh-CN"/>
              </w:rPr>
              <w:t>RMB20,000.00。此项目为上税项目，税金由甲方承担并支付给甲方委托的外贸代理公司。</w:t>
            </w:r>
          </w:p>
        </w:tc>
      </w:tr>
    </w:tbl>
    <w:p w14:paraId="5C6CE3CB">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第二条：</w:t>
      </w:r>
      <w:r>
        <w:rPr>
          <w:rFonts w:ascii="宋体" w:hAnsi="宋体" w:eastAsia="宋体" w:cs="宋体"/>
          <w:color w:val="000000"/>
          <w:sz w:val="21"/>
        </w:rPr>
        <w:t>交货期</w:t>
      </w:r>
    </w:p>
    <w:p w14:paraId="586BBF82">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签订外贸合同之日起</w:t>
      </w:r>
      <w:r>
        <w:rPr>
          <w:rFonts w:ascii="宋体" w:hAnsi="宋体" w:eastAsia="宋体" w:cs="宋体"/>
          <w:color w:val="000000"/>
          <w:sz w:val="21"/>
          <w:u w:val="single"/>
        </w:rPr>
        <w:t>4个月内</w:t>
      </w:r>
      <w:r>
        <w:rPr>
          <w:rFonts w:ascii="宋体" w:hAnsi="宋体" w:eastAsia="宋体" w:cs="宋体"/>
          <w:color w:val="000000"/>
          <w:sz w:val="21"/>
        </w:rPr>
        <w:t>完成供货及安装调试。</w:t>
      </w:r>
    </w:p>
    <w:p w14:paraId="389EB31F">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第三条：</w:t>
      </w:r>
      <w:r>
        <w:rPr>
          <w:rFonts w:ascii="宋体" w:hAnsi="宋体" w:eastAsia="宋体" w:cs="宋体"/>
          <w:color w:val="000000"/>
          <w:sz w:val="21"/>
        </w:rPr>
        <w:t xml:space="preserve">付款方式及条件 </w:t>
      </w:r>
    </w:p>
    <w:p w14:paraId="3B4A7E62">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33DF5270">
      <w:pPr>
        <w:pBdr>
          <w:top w:val="none" w:color="000000" w:sz="0" w:space="0"/>
          <w:left w:val="none" w:color="000000" w:sz="0" w:space="0"/>
          <w:bottom w:val="none" w:color="000000" w:sz="0" w:space="0"/>
          <w:right w:val="none" w:color="000000" w:sz="0" w:space="0"/>
        </w:pBdr>
        <w:spacing w:line="85" w:lineRule="atLeast"/>
        <w:ind w:firstLine="422"/>
      </w:pPr>
      <w:r>
        <w:rPr>
          <w:rFonts w:ascii="宋体" w:hAnsi="宋体" w:eastAsia="宋体" w:cs="宋体"/>
          <w:b/>
          <w:color w:val="000000"/>
          <w:sz w:val="21"/>
        </w:rPr>
        <w:t>第四条：</w:t>
      </w:r>
      <w:r>
        <w:rPr>
          <w:rFonts w:ascii="宋体" w:hAnsi="宋体" w:eastAsia="宋体" w:cs="宋体"/>
          <w:color w:val="000000"/>
          <w:sz w:val="21"/>
        </w:rPr>
        <w:t>原产地、生产商与运输方式及包装。</w:t>
      </w:r>
    </w:p>
    <w:p w14:paraId="196A6E8D">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 xml:space="preserve">原产地： </w:t>
      </w:r>
      <w:r>
        <w:rPr>
          <w:rFonts w:hint="eastAsia" w:ascii="宋体" w:hAnsi="宋体" w:eastAsia="宋体" w:cs="宋体"/>
          <w:color w:val="000000"/>
          <w:sz w:val="21"/>
        </w:rPr>
        <w:t>德国</w:t>
      </w:r>
    </w:p>
    <w:p w14:paraId="231FE53A">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 xml:space="preserve">生产商： </w:t>
      </w:r>
      <w:r>
        <w:rPr>
          <w:rFonts w:hint="eastAsia" w:ascii="宋体" w:hAnsi="宋体" w:eastAsia="宋体" w:cs="宋体"/>
          <w:color w:val="000000"/>
          <w:sz w:val="21"/>
        </w:rPr>
        <w:t>蔡司</w:t>
      </w:r>
    </w:p>
    <w:p w14:paraId="19A998EC">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 xml:space="preserve">发货港： </w:t>
      </w:r>
      <w:r>
        <w:rPr>
          <w:rFonts w:hint="eastAsia" w:ascii="宋体" w:hAnsi="宋体" w:eastAsia="宋体" w:cs="宋体"/>
          <w:color w:val="000000"/>
          <w:sz w:val="21"/>
        </w:rPr>
        <w:t>德国主要机场</w:t>
      </w:r>
    </w:p>
    <w:p w14:paraId="1A5C47B7">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运输方式：</w:t>
      </w:r>
      <w:r>
        <w:rPr>
          <w:rFonts w:ascii="宋体" w:hAnsi="宋体" w:eastAsia="宋体" w:cs="宋体"/>
          <w:color w:val="000000"/>
          <w:sz w:val="21"/>
          <w:u w:val="single"/>
        </w:rPr>
        <w:t>空运</w:t>
      </w:r>
      <w:r>
        <w:rPr>
          <w:rFonts w:ascii="宋体" w:hAnsi="宋体" w:eastAsia="宋体" w:cs="宋体"/>
          <w:color w:val="000000"/>
          <w:sz w:val="21"/>
        </w:rPr>
        <w:t>。货物从发送地至</w:t>
      </w:r>
      <w:r>
        <w:rPr>
          <w:rFonts w:hint="eastAsia" w:ascii="宋体" w:hAnsi="宋体" w:eastAsia="宋体" w:cs="宋体"/>
          <w:color w:val="000000"/>
          <w:sz w:val="21"/>
        </w:rPr>
        <w:t>上海</w:t>
      </w:r>
      <w:r>
        <w:rPr>
          <w:rFonts w:ascii="宋体" w:hAnsi="宋体" w:eastAsia="宋体" w:cs="宋体"/>
          <w:color w:val="000000"/>
          <w:sz w:val="21"/>
        </w:rPr>
        <w:t>机场的运费及保险费由乙方承担。乙方负责为交运设备投保合同总价110%的空运保险。</w:t>
      </w:r>
      <w:r>
        <w:rPr>
          <w:rFonts w:hint="eastAsia" w:ascii="宋体" w:hAnsi="宋体" w:eastAsia="宋体" w:cs="宋体"/>
          <w:color w:val="000000"/>
          <w:sz w:val="21"/>
        </w:rPr>
        <w:t>上海</w:t>
      </w:r>
      <w:r>
        <w:rPr>
          <w:rFonts w:ascii="宋体" w:hAnsi="宋体" w:eastAsia="宋体" w:cs="宋体"/>
          <w:color w:val="000000"/>
          <w:sz w:val="21"/>
        </w:rPr>
        <w:t>机场至南京邮电大学项目现场的部分由</w:t>
      </w:r>
      <w:r>
        <w:rPr>
          <w:rFonts w:hint="eastAsia" w:ascii="宋体" w:hAnsi="宋体" w:eastAsia="宋体" w:cs="宋体"/>
          <w:color w:val="000000"/>
          <w:sz w:val="21"/>
        </w:rPr>
        <w:t>乙</w:t>
      </w:r>
      <w:r>
        <w:rPr>
          <w:rFonts w:ascii="宋体" w:hAnsi="宋体" w:eastAsia="宋体" w:cs="宋体"/>
          <w:color w:val="000000"/>
          <w:sz w:val="21"/>
        </w:rPr>
        <w:t>方</w:t>
      </w:r>
      <w:r>
        <w:rPr>
          <w:rFonts w:hint="eastAsia" w:ascii="宋体" w:hAnsi="宋体" w:eastAsia="宋体" w:cs="宋体"/>
          <w:color w:val="000000"/>
          <w:sz w:val="21"/>
        </w:rPr>
        <w:t>负责</w:t>
      </w:r>
      <w:r>
        <w:rPr>
          <w:rFonts w:ascii="宋体" w:hAnsi="宋体" w:eastAsia="宋体" w:cs="宋体"/>
          <w:color w:val="000000"/>
          <w:sz w:val="21"/>
        </w:rPr>
        <w:t>运输。</w:t>
      </w:r>
    </w:p>
    <w:p w14:paraId="6137F0E0">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到货港：</w:t>
      </w:r>
      <w:r>
        <w:rPr>
          <w:rFonts w:hint="eastAsia" w:ascii="宋体" w:hAnsi="宋体" w:eastAsia="宋体" w:cs="宋体"/>
          <w:color w:val="000000"/>
          <w:sz w:val="21"/>
        </w:rPr>
        <w:t>上海</w:t>
      </w:r>
      <w:r>
        <w:rPr>
          <w:rFonts w:ascii="宋体" w:hAnsi="宋体" w:eastAsia="宋体" w:cs="宋体"/>
          <w:color w:val="000000"/>
          <w:sz w:val="21"/>
        </w:rPr>
        <w:t>机场。</w:t>
      </w:r>
    </w:p>
    <w:p w14:paraId="3A20A076">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包装：提供货物的包装需适合远距离的海运/包裹邮递/空运和气候的变化，能防护野蛮装卸、潮湿、雨淋、腐蚀、震动和冷冻。</w:t>
      </w:r>
    </w:p>
    <w:p w14:paraId="3EA2C74B">
      <w:pPr>
        <w:pBdr>
          <w:top w:val="none" w:color="000000" w:sz="0" w:space="0"/>
          <w:left w:val="none" w:color="000000" w:sz="0" w:space="0"/>
          <w:bottom w:val="none" w:color="000000" w:sz="0" w:space="0"/>
          <w:right w:val="none" w:color="000000" w:sz="0" w:space="0"/>
        </w:pBdr>
        <w:spacing w:line="85" w:lineRule="atLeast"/>
        <w:ind w:firstLine="422"/>
        <w:jc w:val="both"/>
        <w:rPr>
          <w:rFonts w:eastAsia="宋体"/>
          <w:sz w:val="21"/>
          <w:szCs w:val="21"/>
        </w:rPr>
      </w:pPr>
      <w:r>
        <w:rPr>
          <w:rFonts w:ascii="宋体" w:hAnsi="宋体" w:eastAsia="宋体" w:cs="宋体"/>
          <w:b/>
          <w:color w:val="000000"/>
          <w:sz w:val="21"/>
        </w:rPr>
        <w:t>第五条：</w:t>
      </w:r>
      <w:r>
        <w:rPr>
          <w:rFonts w:ascii="宋体" w:hAnsi="宋体" w:eastAsia="宋体" w:cs="宋体"/>
          <w:color w:val="000000"/>
          <w:sz w:val="21"/>
        </w:rPr>
        <w:t>外贸合同签订方：</w:t>
      </w:r>
      <w:r>
        <w:rPr>
          <w:rFonts w:eastAsia="宋体"/>
          <w:color w:val="000000"/>
          <w:sz w:val="21"/>
          <w:szCs w:val="21"/>
        </w:rPr>
        <w:t>科控儀器香港有限公司/</w:t>
      </w:r>
      <w:r>
        <w:rPr>
          <w:rFonts w:eastAsia="宋体"/>
          <w:sz w:val="21"/>
          <w:szCs w:val="21"/>
        </w:rPr>
        <w:t xml:space="preserve"> </w:t>
      </w:r>
      <w:r>
        <w:rPr>
          <w:rFonts w:eastAsia="宋体"/>
          <w:color w:val="000000"/>
          <w:sz w:val="21"/>
          <w:szCs w:val="21"/>
        </w:rPr>
        <w:t xml:space="preserve">GDASH INSTRUMENT HK </w:t>
      </w:r>
      <w:r>
        <w:rPr>
          <w:rFonts w:hint="eastAsia" w:eastAsia="宋体"/>
          <w:color w:val="000000"/>
          <w:sz w:val="21"/>
          <w:szCs w:val="21"/>
        </w:rPr>
        <w:t>LIMI</w:t>
      </w:r>
      <w:r>
        <w:rPr>
          <w:rFonts w:eastAsia="宋体"/>
          <w:color w:val="000000"/>
          <w:sz w:val="21"/>
          <w:szCs w:val="21"/>
        </w:rPr>
        <w:t>LTD.</w:t>
      </w:r>
      <w:r>
        <w:rPr>
          <w:rFonts w:eastAsia="宋体"/>
          <w:sz w:val="21"/>
          <w:szCs w:val="21"/>
        </w:rPr>
        <w:t>中国香港九龍灣宏光道4號豐隆工業大廈6樓3室</w:t>
      </w:r>
      <w:r>
        <w:rPr>
          <w:rFonts w:hint="eastAsia" w:eastAsia="宋体"/>
          <w:sz w:val="21"/>
          <w:szCs w:val="21"/>
        </w:rPr>
        <w:t>/</w:t>
      </w:r>
      <w:r>
        <w:rPr>
          <w:rFonts w:eastAsia="宋体"/>
          <w:sz w:val="21"/>
          <w:szCs w:val="21"/>
        </w:rPr>
        <w:t>Flat/Rm.3, 6/F, Hong Leong Industrial Complex No.4 Wang Kwong Road, Kowloon Bay, KLN, HK, CHINA</w:t>
      </w:r>
    </w:p>
    <w:p w14:paraId="5B4629DE">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第六条：</w:t>
      </w:r>
      <w:r>
        <w:rPr>
          <w:rFonts w:ascii="宋体" w:hAnsi="宋体" w:eastAsia="宋体" w:cs="宋体"/>
          <w:color w:val="000000"/>
          <w:sz w:val="21"/>
        </w:rPr>
        <w:t>乙方应在交货时同时向甲方提供与本合同项下货物相符且完整的技术资料。</w:t>
      </w:r>
    </w:p>
    <w:p w14:paraId="2DC10B6E">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第七条：</w:t>
      </w:r>
      <w:r>
        <w:rPr>
          <w:rFonts w:ascii="宋体" w:hAnsi="宋体" w:eastAsia="宋体" w:cs="宋体"/>
          <w:color w:val="000000"/>
          <w:sz w:val="21"/>
        </w:rPr>
        <w:t>质量保证与售后服务</w:t>
      </w:r>
    </w:p>
    <w:p w14:paraId="61E0565F">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1、乙方保证供应的设备完全符合本协议所规定的原生产厂商所规定的质量、规格、性能和技术指标，确保该产品为全新未使用过的仪器，否则允许甲方退货或应保证更换并向甲方支付相关损失。</w:t>
      </w:r>
    </w:p>
    <w:p w14:paraId="765E6B6D">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2、设备的免费质保期为交货经验收合格后</w:t>
      </w:r>
      <w:r>
        <w:rPr>
          <w:rFonts w:ascii="宋体" w:hAnsi="宋体" w:eastAsia="宋体" w:cs="宋体"/>
          <w:color w:val="000000"/>
          <w:sz w:val="21"/>
          <w:u w:val="single"/>
        </w:rPr>
        <w:t> </w:t>
      </w:r>
      <w:r>
        <w:rPr>
          <w:rFonts w:hint="eastAsia" w:ascii="宋体" w:hAnsi="宋体" w:eastAsia="宋体" w:cs="宋体"/>
          <w:color w:val="000000"/>
          <w:sz w:val="21"/>
          <w:u w:val="single"/>
        </w:rPr>
        <w:t>12</w:t>
      </w:r>
      <w:r>
        <w:rPr>
          <w:rFonts w:ascii="宋体" w:hAnsi="宋体" w:eastAsia="宋体" w:cs="宋体"/>
          <w:color w:val="000000"/>
          <w:sz w:val="21"/>
          <w:u w:val="single"/>
        </w:rPr>
        <w:t> </w:t>
      </w:r>
      <w:r>
        <w:rPr>
          <w:rFonts w:ascii="宋体" w:hAnsi="宋体" w:eastAsia="宋体" w:cs="宋体"/>
          <w:color w:val="000000"/>
          <w:sz w:val="21"/>
        </w:rPr>
        <w:t>个月。</w:t>
      </w:r>
    </w:p>
    <w:p w14:paraId="1F4C2A8A">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3、乙方在接到甲方用户故障通知后</w:t>
      </w:r>
      <w:r>
        <w:rPr>
          <w:rFonts w:ascii="宋体" w:hAnsi="宋体" w:eastAsia="宋体" w:cs="宋体"/>
          <w:color w:val="000000"/>
          <w:sz w:val="21"/>
          <w:u w:val="single"/>
        </w:rPr>
        <w:t> </w:t>
      </w:r>
      <w:r>
        <w:rPr>
          <w:rFonts w:hint="eastAsia" w:ascii="宋体" w:hAnsi="宋体" w:eastAsia="宋体" w:cs="宋体"/>
          <w:color w:val="000000"/>
          <w:sz w:val="21"/>
          <w:u w:val="single"/>
        </w:rPr>
        <w:t>4</w:t>
      </w:r>
      <w:r>
        <w:rPr>
          <w:rFonts w:ascii="宋体" w:hAnsi="宋体" w:eastAsia="宋体" w:cs="宋体"/>
          <w:color w:val="000000"/>
          <w:sz w:val="21"/>
          <w:u w:val="single"/>
        </w:rPr>
        <w:t> </w:t>
      </w:r>
      <w:r>
        <w:rPr>
          <w:rFonts w:ascii="宋体" w:hAnsi="宋体" w:eastAsia="宋体" w:cs="宋体"/>
          <w:color w:val="000000"/>
          <w:sz w:val="21"/>
        </w:rPr>
        <w:t xml:space="preserve">小时内作出响应。 </w:t>
      </w:r>
    </w:p>
    <w:p w14:paraId="4808A003">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4、乙方违反质量保证和售后服务条款，甲方可要求合同金额5%的违约金。</w:t>
      </w:r>
    </w:p>
    <w:p w14:paraId="0DEF6F8E">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第八条：</w:t>
      </w:r>
      <w:r>
        <w:rPr>
          <w:rFonts w:ascii="宋体" w:hAnsi="宋体" w:eastAsia="宋体" w:cs="宋体"/>
          <w:color w:val="000000"/>
          <w:sz w:val="21"/>
        </w:rPr>
        <w:t>安装调试及验收</w:t>
      </w:r>
    </w:p>
    <w:p w14:paraId="3597539B">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1、乙方在仪器设备抵达甲方</w:t>
      </w:r>
      <w:r>
        <w:rPr>
          <w:rFonts w:ascii="宋体" w:hAnsi="宋体" w:eastAsia="宋体" w:cs="宋体"/>
          <w:color w:val="000000"/>
          <w:sz w:val="21"/>
          <w:u w:val="single"/>
        </w:rPr>
        <w:t>20</w:t>
      </w:r>
      <w:r>
        <w:rPr>
          <w:rFonts w:ascii="宋体" w:hAnsi="宋体" w:eastAsia="宋体" w:cs="宋体"/>
          <w:color w:val="000000"/>
          <w:sz w:val="21"/>
        </w:rPr>
        <w:t>个工作日前书面通知甲方设备安装所需条件，以利设备的正常安装调试。</w:t>
      </w:r>
    </w:p>
    <w:p w14:paraId="096F43EB">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C8D4359">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225D70EB">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第九条：</w:t>
      </w:r>
      <w:r>
        <w:rPr>
          <w:rFonts w:ascii="宋体" w:hAnsi="宋体" w:eastAsia="宋体" w:cs="宋体"/>
          <w:color w:val="000000"/>
          <w:sz w:val="21"/>
        </w:rPr>
        <w:t>不可抗力：由于生产或运输期间遇到的地震、台风、洪水等自然灾害及战争、政变等不可抗力引起的延期发货，乙方不需支付延误交货罚金。乙方应在上述不可抗力发生后14日以内书面通知甲方。</w:t>
      </w:r>
    </w:p>
    <w:p w14:paraId="75C1BB10">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第十条：</w:t>
      </w:r>
      <w:r>
        <w:rPr>
          <w:rFonts w:ascii="宋体" w:hAnsi="宋体" w:eastAsia="宋体" w:cs="宋体"/>
          <w:color w:val="000000"/>
          <w:sz w:val="21"/>
        </w:rPr>
        <w:t>违约责任</w:t>
      </w:r>
    </w:p>
    <w:p w14:paraId="243250E5">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1、乙方未能交付物品，则向甲方支付合同总额</w:t>
      </w:r>
      <w:r>
        <w:rPr>
          <w:rFonts w:ascii="宋体" w:hAnsi="宋体" w:eastAsia="宋体" w:cs="宋体"/>
          <w:b/>
          <w:color w:val="000000"/>
          <w:sz w:val="21"/>
          <w:u w:val="single"/>
        </w:rPr>
        <w:t>5%</w:t>
      </w:r>
      <w:r>
        <w:rPr>
          <w:rFonts w:ascii="宋体" w:hAnsi="宋体" w:eastAsia="宋体" w:cs="宋体"/>
          <w:color w:val="000000"/>
          <w:sz w:val="21"/>
        </w:rPr>
        <w:t>的违约金。</w:t>
      </w:r>
    </w:p>
    <w:p w14:paraId="3956333D">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2、乙方交付的物品不符合合同规定的，甲方有权拒收，乙方向甲方支付合同总额</w:t>
      </w:r>
      <w:r>
        <w:rPr>
          <w:rFonts w:ascii="宋体" w:hAnsi="宋体" w:eastAsia="宋体" w:cs="宋体"/>
          <w:b/>
          <w:color w:val="000000"/>
          <w:sz w:val="21"/>
          <w:u w:val="single"/>
        </w:rPr>
        <w:t>5%</w:t>
      </w:r>
      <w:r>
        <w:rPr>
          <w:rFonts w:ascii="宋体" w:hAnsi="宋体" w:eastAsia="宋体" w:cs="宋体"/>
          <w:color w:val="000000"/>
          <w:sz w:val="21"/>
        </w:rPr>
        <w:t>的违约金。</w:t>
      </w:r>
    </w:p>
    <w:p w14:paraId="3AF88107">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3、乙方逾期交付物品，则每日按合同总额</w:t>
      </w:r>
      <w:r>
        <w:rPr>
          <w:rFonts w:ascii="宋体" w:hAnsi="宋体" w:eastAsia="宋体" w:cs="宋体"/>
          <w:b/>
          <w:color w:val="000000"/>
          <w:sz w:val="21"/>
          <w:u w:val="single"/>
        </w:rPr>
        <w:t>0.5%</w:t>
      </w:r>
      <w:r>
        <w:rPr>
          <w:rFonts w:ascii="宋体" w:hAnsi="宋体" w:eastAsia="宋体" w:cs="宋体"/>
          <w:color w:val="000000"/>
          <w:sz w:val="21"/>
        </w:rPr>
        <w:t>向甲方偿付违约金。逾期交付超过</w:t>
      </w:r>
      <w:r>
        <w:rPr>
          <w:rFonts w:ascii="宋体" w:hAnsi="宋体" w:eastAsia="宋体" w:cs="宋体"/>
          <w:b/>
          <w:color w:val="000000"/>
          <w:sz w:val="21"/>
          <w:u w:val="single"/>
        </w:rPr>
        <w:t>30</w:t>
      </w:r>
      <w:r>
        <w:rPr>
          <w:rFonts w:ascii="宋体" w:hAnsi="宋体" w:eastAsia="宋体" w:cs="宋体"/>
          <w:color w:val="000000"/>
          <w:sz w:val="21"/>
        </w:rPr>
        <w:t>天，甲方有权终止合同。</w:t>
      </w:r>
    </w:p>
    <w:p w14:paraId="6A7AC986">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第十一条：</w:t>
      </w:r>
      <w:r>
        <w:rPr>
          <w:rFonts w:ascii="宋体" w:hAnsi="宋体" w:eastAsia="宋体" w:cs="宋体"/>
          <w:color w:val="000000"/>
          <w:sz w:val="21"/>
        </w:rPr>
        <w:t>争端解决：</w:t>
      </w:r>
    </w:p>
    <w:p w14:paraId="03920DAC">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152339DB">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第十二条：</w:t>
      </w:r>
      <w:r>
        <w:rPr>
          <w:rFonts w:ascii="宋体" w:hAnsi="宋体" w:eastAsia="宋体" w:cs="宋体"/>
          <w:color w:val="000000"/>
          <w:sz w:val="21"/>
        </w:rPr>
        <w:t>本协议甲乙双方签字盖章后生效，并作为签订进口合同的有效依据。</w:t>
      </w:r>
    </w:p>
    <w:p w14:paraId="036F4D25">
      <w:pPr>
        <w:pBdr>
          <w:top w:val="none" w:color="000000" w:sz="0" w:space="0"/>
          <w:left w:val="none" w:color="000000" w:sz="0" w:space="0"/>
          <w:bottom w:val="none" w:color="000000" w:sz="0" w:space="0"/>
          <w:right w:val="none" w:color="000000" w:sz="0" w:space="0"/>
        </w:pBdr>
        <w:spacing w:line="85" w:lineRule="atLeast"/>
        <w:ind w:firstLine="422"/>
        <w:jc w:val="both"/>
      </w:pPr>
      <w:r>
        <w:rPr>
          <w:rFonts w:ascii="宋体" w:hAnsi="宋体" w:eastAsia="宋体" w:cs="宋体"/>
          <w:b/>
          <w:color w:val="000000"/>
          <w:sz w:val="21"/>
        </w:rPr>
        <w:t>第十三条：</w:t>
      </w:r>
      <w:r>
        <w:rPr>
          <w:rFonts w:ascii="宋体" w:hAnsi="宋体" w:eastAsia="宋体" w:cs="宋体"/>
          <w:color w:val="000000"/>
          <w:sz w:val="21"/>
        </w:rPr>
        <w:t>本协议一式陆份，甲方伍份、乙方壹份。自双方签字、盖章之日起生效，具有同等的法律效力。</w:t>
      </w:r>
    </w:p>
    <w:p w14:paraId="5FEF3BF6">
      <w:pPr>
        <w:pBdr>
          <w:top w:val="none" w:color="000000" w:sz="0" w:space="0"/>
          <w:left w:val="none" w:color="000000" w:sz="0" w:space="0"/>
          <w:bottom w:val="none" w:color="000000" w:sz="0" w:space="0"/>
          <w:right w:val="none" w:color="000000" w:sz="0" w:space="0"/>
        </w:pBdr>
        <w:spacing w:line="85" w:lineRule="atLeast"/>
        <w:ind w:firstLine="420"/>
        <w:jc w:val="both"/>
      </w:pPr>
      <w:r>
        <w:rPr>
          <w:rFonts w:ascii="宋体" w:hAnsi="宋体" w:eastAsia="宋体" w:cs="宋体"/>
          <w:color w:val="000000"/>
          <w:sz w:val="21"/>
        </w:rPr>
        <w:t> </w:t>
      </w:r>
    </w:p>
    <w:p w14:paraId="77DC3D0E">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 </w:t>
      </w:r>
    </w:p>
    <w:tbl>
      <w:tblPr>
        <w:tblStyle w:val="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095"/>
        <w:gridCol w:w="4211"/>
      </w:tblGrid>
      <w:tr w14:paraId="12F0D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571F497B">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甲方（公章）</w:t>
            </w:r>
            <w:r>
              <w:rPr>
                <w:rFonts w:hint="eastAsia" w:ascii="宋体" w:hAnsi="宋体" w:eastAsia="宋体" w:cs="宋体"/>
                <w:color w:val="000000"/>
                <w:sz w:val="21"/>
              </w:rPr>
              <w:t>:</w:t>
            </w:r>
            <w:r>
              <w:rPr>
                <w:rFonts w:ascii="宋体" w:hAnsi="宋体" w:eastAsia="宋体" w:cs="宋体"/>
                <w:b/>
                <w:color w:val="000000"/>
                <w:sz w:val="21"/>
              </w:rPr>
              <w:t>南京邮电大学</w:t>
            </w:r>
          </w:p>
        </w:tc>
        <w:tc>
          <w:tcPr>
            <w:tcW w:w="4677" w:type="dxa"/>
            <w:tcBorders>
              <w:top w:val="nil"/>
              <w:left w:val="nil"/>
              <w:bottom w:val="nil"/>
              <w:right w:val="nil"/>
            </w:tcBorders>
            <w:tcMar>
              <w:top w:w="0" w:type="dxa"/>
              <w:left w:w="108" w:type="dxa"/>
              <w:bottom w:w="0" w:type="dxa"/>
              <w:right w:w="108" w:type="dxa"/>
            </w:tcMar>
          </w:tcPr>
          <w:p w14:paraId="6652D636">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乙方（公章）</w:t>
            </w:r>
            <w:r>
              <w:rPr>
                <w:rFonts w:hint="eastAsia" w:ascii="宋体" w:hAnsi="宋体" w:eastAsia="宋体" w:cs="宋体"/>
                <w:color w:val="000000"/>
                <w:sz w:val="21"/>
              </w:rPr>
              <w:t>:</w:t>
            </w:r>
            <w:r>
              <w:rPr>
                <w:rFonts w:ascii="宋体" w:hAnsi="宋体" w:eastAsia="宋体" w:cs="宋体"/>
                <w:b/>
                <w:color w:val="000000"/>
                <w:sz w:val="21"/>
              </w:rPr>
              <w:t>广东省科控仪器设备有限公司</w:t>
            </w:r>
          </w:p>
        </w:tc>
      </w:tr>
      <w:tr w14:paraId="7F4099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3B75D467">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授权代表：</w:t>
            </w:r>
          </w:p>
        </w:tc>
        <w:tc>
          <w:tcPr>
            <w:tcW w:w="4677" w:type="dxa"/>
            <w:tcBorders>
              <w:top w:val="nil"/>
              <w:left w:val="nil"/>
              <w:bottom w:val="nil"/>
              <w:right w:val="nil"/>
            </w:tcBorders>
            <w:tcMar>
              <w:top w:w="0" w:type="dxa"/>
              <w:left w:w="108" w:type="dxa"/>
              <w:bottom w:w="0" w:type="dxa"/>
              <w:right w:w="108" w:type="dxa"/>
            </w:tcMar>
          </w:tcPr>
          <w:p w14:paraId="326246BD">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法人代表（委托代理人）：陈钰焱</w:t>
            </w:r>
          </w:p>
        </w:tc>
      </w:tr>
      <w:tr w14:paraId="08477E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6C5CF334">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用户代表：</w:t>
            </w:r>
          </w:p>
        </w:tc>
        <w:tc>
          <w:tcPr>
            <w:tcW w:w="4677" w:type="dxa"/>
            <w:tcBorders>
              <w:top w:val="nil"/>
              <w:left w:val="nil"/>
              <w:bottom w:val="nil"/>
              <w:right w:val="nil"/>
            </w:tcBorders>
            <w:tcMar>
              <w:top w:w="0" w:type="dxa"/>
              <w:left w:w="108" w:type="dxa"/>
              <w:bottom w:w="0" w:type="dxa"/>
              <w:right w:w="108" w:type="dxa"/>
            </w:tcMar>
          </w:tcPr>
          <w:p w14:paraId="44EB0C66">
            <w:pPr>
              <w:pBdr>
                <w:top w:val="none" w:color="000000" w:sz="0" w:space="0"/>
                <w:left w:val="none" w:color="000000" w:sz="0" w:space="0"/>
                <w:bottom w:val="none" w:color="000000" w:sz="0" w:space="0"/>
                <w:right w:val="none" w:color="000000" w:sz="0" w:space="0"/>
              </w:pBdr>
              <w:spacing w:line="85" w:lineRule="atLeast"/>
              <w:jc w:val="both"/>
            </w:pPr>
            <w:r>
              <w:rPr>
                <w:rFonts w:ascii="宋体" w:hAnsi="宋体" w:eastAsia="宋体" w:cs="宋体"/>
                <w:color w:val="000000"/>
                <w:sz w:val="21"/>
              </w:rPr>
              <w:t>经办人：陈钰焱</w:t>
            </w:r>
          </w:p>
        </w:tc>
      </w:tr>
      <w:tr w14:paraId="13121C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39C4E9E6">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地址：南京市仙林大学城文苑路9号</w:t>
            </w:r>
          </w:p>
        </w:tc>
        <w:tc>
          <w:tcPr>
            <w:tcW w:w="4677" w:type="dxa"/>
            <w:tcBorders>
              <w:top w:val="nil"/>
              <w:left w:val="nil"/>
              <w:bottom w:val="nil"/>
              <w:right w:val="nil"/>
            </w:tcBorders>
            <w:tcMar>
              <w:top w:w="0" w:type="dxa"/>
              <w:left w:w="108" w:type="dxa"/>
              <w:bottom w:w="0" w:type="dxa"/>
              <w:right w:w="108" w:type="dxa"/>
            </w:tcMar>
          </w:tcPr>
          <w:p w14:paraId="524DF08C">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地址：广州市越秀区永福路3号3栋4楼自编407</w:t>
            </w:r>
          </w:p>
        </w:tc>
      </w:tr>
      <w:tr w14:paraId="223B7B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38DA4FB4">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联系电话：</w:t>
            </w:r>
          </w:p>
        </w:tc>
        <w:tc>
          <w:tcPr>
            <w:tcW w:w="4677" w:type="dxa"/>
            <w:tcBorders>
              <w:top w:val="nil"/>
              <w:left w:val="nil"/>
              <w:bottom w:val="nil"/>
              <w:right w:val="nil"/>
            </w:tcBorders>
            <w:tcMar>
              <w:top w:w="0" w:type="dxa"/>
              <w:left w:w="108" w:type="dxa"/>
              <w:bottom w:w="0" w:type="dxa"/>
              <w:right w:w="108" w:type="dxa"/>
            </w:tcMar>
          </w:tcPr>
          <w:p w14:paraId="2A3083C2">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联系电话：15918404322</w:t>
            </w:r>
          </w:p>
        </w:tc>
      </w:tr>
      <w:tr w14:paraId="2A17DE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4677" w:type="dxa"/>
            <w:tcBorders>
              <w:top w:val="nil"/>
              <w:left w:val="nil"/>
              <w:bottom w:val="nil"/>
              <w:right w:val="nil"/>
            </w:tcBorders>
            <w:tcMar>
              <w:top w:w="0" w:type="dxa"/>
              <w:left w:w="108" w:type="dxa"/>
              <w:bottom w:w="0" w:type="dxa"/>
              <w:right w:w="108" w:type="dxa"/>
            </w:tcMar>
          </w:tcPr>
          <w:p w14:paraId="5EF8D9CE">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日期：</w:t>
            </w:r>
            <w:r>
              <w:rPr>
                <w:rFonts w:hint="eastAsia" w:eastAsia="宋体"/>
                <w:color w:val="000000"/>
                <w:sz w:val="21"/>
              </w:rPr>
              <w:t xml:space="preserve">   </w:t>
            </w:r>
            <w:r>
              <w:rPr>
                <w:rFonts w:eastAsia="宋体"/>
                <w:color w:val="000000"/>
                <w:sz w:val="21"/>
              </w:rPr>
              <w:t xml:space="preserve"> 年 </w:t>
            </w:r>
            <w:r>
              <w:rPr>
                <w:rFonts w:hint="eastAsia" w:eastAsia="宋体"/>
                <w:color w:val="000000"/>
                <w:sz w:val="21"/>
              </w:rPr>
              <w:t xml:space="preserve">  </w:t>
            </w:r>
            <w:r>
              <w:rPr>
                <w:rFonts w:eastAsia="宋体"/>
                <w:color w:val="000000"/>
                <w:sz w:val="21"/>
              </w:rPr>
              <w:t xml:space="preserve">月 </w:t>
            </w:r>
            <w:r>
              <w:rPr>
                <w:rFonts w:hint="eastAsia" w:eastAsia="宋体"/>
                <w:color w:val="000000"/>
                <w:sz w:val="21"/>
              </w:rPr>
              <w:t xml:space="preserve">  </w:t>
            </w:r>
            <w:r>
              <w:rPr>
                <w:rFonts w:eastAsia="宋体"/>
                <w:color w:val="000000"/>
                <w:sz w:val="21"/>
              </w:rPr>
              <w:t>日</w:t>
            </w:r>
          </w:p>
        </w:tc>
        <w:tc>
          <w:tcPr>
            <w:tcW w:w="4677" w:type="dxa"/>
            <w:tcBorders>
              <w:top w:val="nil"/>
              <w:left w:val="nil"/>
              <w:bottom w:val="nil"/>
              <w:right w:val="nil"/>
            </w:tcBorders>
            <w:tcMar>
              <w:top w:w="0" w:type="dxa"/>
              <w:left w:w="108" w:type="dxa"/>
              <w:bottom w:w="0" w:type="dxa"/>
              <w:right w:w="108" w:type="dxa"/>
            </w:tcMar>
          </w:tcPr>
          <w:p w14:paraId="0BC89C11">
            <w:pPr>
              <w:pBdr>
                <w:top w:val="none" w:color="000000" w:sz="0" w:space="0"/>
                <w:left w:val="none" w:color="000000" w:sz="0" w:space="0"/>
                <w:bottom w:val="none" w:color="000000" w:sz="0" w:space="0"/>
                <w:right w:val="none" w:color="000000" w:sz="0" w:space="0"/>
              </w:pBdr>
              <w:spacing w:line="85" w:lineRule="atLeast"/>
              <w:jc w:val="both"/>
            </w:pPr>
            <w:r>
              <w:rPr>
                <w:rFonts w:eastAsia="宋体"/>
                <w:color w:val="000000"/>
                <w:sz w:val="21"/>
              </w:rPr>
              <w:t>日期： 2026 年  08 月 07 日</w:t>
            </w:r>
          </w:p>
        </w:tc>
      </w:tr>
    </w:tbl>
    <w:p w14:paraId="1B675562"/>
    <w:p w14:paraId="3E916CCB">
      <w:r>
        <w:br w:type="page"/>
      </w:r>
    </w:p>
    <w:p w14:paraId="4A485443">
      <w:pPr>
        <w:rPr>
          <w:rFonts w:eastAsia="宋体"/>
          <w:sz w:val="21"/>
          <w:szCs w:val="21"/>
        </w:rPr>
      </w:pPr>
      <w:r>
        <w:rPr>
          <w:rFonts w:eastAsia="宋体"/>
          <w:sz w:val="21"/>
          <w:szCs w:val="21"/>
        </w:rPr>
        <w:t>配置清单:</w:t>
      </w:r>
    </w:p>
    <w:p w14:paraId="5759F911">
      <w:pPr>
        <w:rPr>
          <w:rFonts w:eastAsia="宋体"/>
          <w:sz w:val="21"/>
          <w:szCs w:val="21"/>
        </w:rPr>
      </w:pP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554"/>
        <w:gridCol w:w="5097"/>
        <w:gridCol w:w="1017"/>
      </w:tblGrid>
      <w:tr w14:paraId="01B76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35" w:type="pct"/>
            <w:tcBorders>
              <w:top w:val="single" w:color="auto" w:sz="4" w:space="0"/>
              <w:left w:val="single" w:color="auto" w:sz="4" w:space="0"/>
              <w:bottom w:val="single" w:color="auto" w:sz="4" w:space="0"/>
              <w:right w:val="single" w:color="auto" w:sz="4" w:space="0"/>
            </w:tcBorders>
            <w:vAlign w:val="center"/>
          </w:tcPr>
          <w:p w14:paraId="3A75784C">
            <w:pPr>
              <w:jc w:val="center"/>
              <w:rPr>
                <w:rFonts w:ascii="Arial" w:hAnsi="Arial" w:cs="Arial"/>
              </w:rPr>
            </w:pPr>
            <w:r>
              <w:rPr>
                <w:rFonts w:hint="eastAsia" w:ascii="Arial" w:hAnsi="Arial" w:cs="Arial"/>
              </w:rPr>
              <w:t>序号/NO.</w:t>
            </w:r>
          </w:p>
        </w:tc>
        <w:tc>
          <w:tcPr>
            <w:tcW w:w="1020" w:type="pct"/>
            <w:tcBorders>
              <w:top w:val="single" w:color="auto" w:sz="4" w:space="0"/>
              <w:left w:val="single" w:color="auto" w:sz="4" w:space="0"/>
              <w:bottom w:val="single" w:color="auto" w:sz="4" w:space="0"/>
              <w:right w:val="single" w:color="auto" w:sz="4" w:space="0"/>
            </w:tcBorders>
            <w:vAlign w:val="center"/>
          </w:tcPr>
          <w:p w14:paraId="4794C21E">
            <w:pPr>
              <w:jc w:val="center"/>
              <w:rPr>
                <w:rFonts w:ascii="Arial" w:hAnsi="Arial" w:cs="Arial"/>
              </w:rPr>
            </w:pPr>
            <w:r>
              <w:rPr>
                <w:rFonts w:hint="eastAsia" w:ascii="Arial" w:hAnsi="Arial" w:cs="Arial"/>
              </w:rPr>
              <w:t>商品名称/Name</w:t>
            </w:r>
          </w:p>
        </w:tc>
        <w:tc>
          <w:tcPr>
            <w:tcW w:w="3155" w:type="pct"/>
            <w:tcBorders>
              <w:top w:val="single" w:color="auto" w:sz="4" w:space="0"/>
              <w:left w:val="single" w:color="auto" w:sz="4" w:space="0"/>
              <w:bottom w:val="single" w:color="auto" w:sz="4" w:space="0"/>
              <w:right w:val="single" w:color="auto" w:sz="4" w:space="0"/>
            </w:tcBorders>
            <w:vAlign w:val="center"/>
          </w:tcPr>
          <w:p w14:paraId="30E7CFD1">
            <w:pPr>
              <w:rPr>
                <w:rFonts w:ascii="Arial" w:hAnsi="Arial" w:cs="Arial"/>
              </w:rPr>
            </w:pPr>
            <w:r>
              <w:rPr>
                <w:rFonts w:hint="eastAsia" w:ascii="Arial" w:hAnsi="Arial" w:cs="Arial"/>
              </w:rPr>
              <w:t>描述/Description</w:t>
            </w:r>
          </w:p>
        </w:tc>
        <w:tc>
          <w:tcPr>
            <w:tcW w:w="491" w:type="pct"/>
            <w:tcBorders>
              <w:top w:val="single" w:color="auto" w:sz="4" w:space="0"/>
              <w:left w:val="single" w:color="auto" w:sz="4" w:space="0"/>
              <w:bottom w:val="single" w:color="auto" w:sz="4" w:space="0"/>
              <w:right w:val="single" w:color="auto" w:sz="4" w:space="0"/>
            </w:tcBorders>
            <w:vAlign w:val="center"/>
          </w:tcPr>
          <w:p w14:paraId="481C5360">
            <w:pPr>
              <w:jc w:val="center"/>
              <w:rPr>
                <w:rFonts w:ascii="Arial" w:hAnsi="Arial" w:cs="Arial"/>
              </w:rPr>
            </w:pPr>
            <w:r>
              <w:rPr>
                <w:rFonts w:hint="eastAsia" w:ascii="Arial" w:hAnsi="Arial" w:cs="Arial"/>
              </w:rPr>
              <w:t>数量/Quantity</w:t>
            </w:r>
          </w:p>
        </w:tc>
      </w:tr>
      <w:tr w14:paraId="1C6A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35" w:type="pct"/>
            <w:tcBorders>
              <w:top w:val="single" w:color="auto" w:sz="4" w:space="0"/>
            </w:tcBorders>
            <w:vAlign w:val="center"/>
          </w:tcPr>
          <w:p w14:paraId="747EC961">
            <w:pPr>
              <w:jc w:val="center"/>
              <w:rPr>
                <w:rFonts w:ascii="Arial" w:hAnsi="Arial" w:cs="Arial"/>
              </w:rPr>
            </w:pPr>
            <w:r>
              <w:rPr>
                <w:rFonts w:hint="eastAsia" w:ascii="Arial" w:hAnsi="Arial" w:cs="Arial"/>
              </w:rPr>
              <w:t>1</w:t>
            </w:r>
          </w:p>
        </w:tc>
        <w:tc>
          <w:tcPr>
            <w:tcW w:w="1020" w:type="pct"/>
            <w:tcBorders>
              <w:top w:val="single" w:color="auto" w:sz="4" w:space="0"/>
            </w:tcBorders>
            <w:vAlign w:val="center"/>
          </w:tcPr>
          <w:p w14:paraId="3F00969C">
            <w:pPr>
              <w:jc w:val="center"/>
              <w:rPr>
                <w:rFonts w:ascii="Arial" w:hAnsi="Arial" w:cs="Arial"/>
              </w:rPr>
            </w:pPr>
            <w:r>
              <w:rPr>
                <w:rFonts w:hint="eastAsia" w:ascii="Arial" w:hAnsi="Arial" w:cs="Arial"/>
              </w:rPr>
              <w:t>X射线显微镜</w:t>
            </w:r>
          </w:p>
          <w:p w14:paraId="149EBFB5">
            <w:pPr>
              <w:jc w:val="center"/>
              <w:rPr>
                <w:rFonts w:ascii="Arial" w:hAnsi="Arial" w:cs="Arial"/>
              </w:rPr>
            </w:pPr>
            <w:r>
              <w:rPr>
                <w:rFonts w:ascii="Arial" w:hAnsi="Arial" w:cs="Arial"/>
              </w:rPr>
              <w:t>VersaXRM 615</w:t>
            </w:r>
          </w:p>
        </w:tc>
        <w:tc>
          <w:tcPr>
            <w:tcW w:w="3155" w:type="pct"/>
            <w:tcBorders>
              <w:top w:val="single" w:color="auto" w:sz="4" w:space="0"/>
            </w:tcBorders>
            <w:vAlign w:val="center"/>
          </w:tcPr>
          <w:p w14:paraId="292D3ED9">
            <w:pPr>
              <w:rPr>
                <w:rFonts w:ascii="Arial" w:hAnsi="Arial" w:cs="Arial"/>
              </w:rPr>
            </w:pPr>
            <w:r>
              <w:rPr>
                <w:rFonts w:ascii="Arial" w:hAnsi="Arial" w:cs="Arial"/>
              </w:rPr>
              <w:t>-</w:t>
            </w:r>
            <w:r>
              <w:rPr>
                <w:rFonts w:ascii="Arial" w:hAnsi="Arial" w:cs="Arial"/>
              </w:rPr>
              <w:tab/>
            </w:r>
            <w:r>
              <w:rPr>
                <w:rFonts w:ascii="Arial" w:hAnsi="Arial" w:cs="Arial"/>
              </w:rPr>
              <w:t>ZEISS VersaXRM 615 High-Resolution 3D Analysis System. Includes the following:</w:t>
            </w:r>
          </w:p>
          <w:p w14:paraId="47D0D83C">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蔡司VersaXRM 615 高分辨率三维分析系统。主机包含：</w:t>
            </w:r>
          </w:p>
          <w:p w14:paraId="320441A0">
            <w:pPr>
              <w:rPr>
                <w:rFonts w:ascii="Arial" w:hAnsi="Arial" w:cs="Arial"/>
              </w:rPr>
            </w:pPr>
            <w:r>
              <w:rPr>
                <w:rFonts w:ascii="Arial" w:hAnsi="Arial" w:cs="Arial"/>
              </w:rPr>
              <w:t>-</w:t>
            </w:r>
            <w:r>
              <w:rPr>
                <w:rFonts w:ascii="Arial" w:hAnsi="Arial" w:cs="Arial"/>
              </w:rPr>
              <w:tab/>
            </w:r>
            <w:r>
              <w:rPr>
                <w:rFonts w:ascii="Arial" w:hAnsi="Arial" w:cs="Arial"/>
              </w:rPr>
              <w:t>160kV high-energy microfocus X-ray source &amp; staging</w:t>
            </w:r>
          </w:p>
          <w:p w14:paraId="68566A12">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160kV 高能量微聚焦X射线源,25w</w:t>
            </w:r>
          </w:p>
          <w:p w14:paraId="5630114D">
            <w:pPr>
              <w:rPr>
                <w:rFonts w:ascii="Arial" w:hAnsi="Arial" w:cs="Arial"/>
              </w:rPr>
            </w:pPr>
            <w:r>
              <w:rPr>
                <w:rFonts w:ascii="Arial" w:hAnsi="Arial" w:cs="Arial"/>
              </w:rPr>
              <w:t>-</w:t>
            </w:r>
            <w:r>
              <w:rPr>
                <w:rFonts w:ascii="Arial" w:hAnsi="Arial" w:cs="Arial"/>
              </w:rPr>
              <w:tab/>
            </w:r>
            <w:r>
              <w:rPr>
                <w:rFonts w:ascii="Arial" w:hAnsi="Arial" w:cs="Arial"/>
              </w:rPr>
              <w:t>2k x 2k high-resolution 16-bit CCD digital camera assembly</w:t>
            </w:r>
          </w:p>
          <w:p w14:paraId="0D148BDF">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2k x 2k 高分辨16位CCD数字成像组件</w:t>
            </w:r>
          </w:p>
          <w:p w14:paraId="684695C5">
            <w:pPr>
              <w:rPr>
                <w:rFonts w:ascii="Arial" w:hAnsi="Arial" w:cs="Arial"/>
              </w:rPr>
            </w:pPr>
            <w:r>
              <w:rPr>
                <w:rFonts w:ascii="Arial" w:hAnsi="Arial" w:cs="Arial"/>
              </w:rPr>
              <w:t>-</w:t>
            </w:r>
            <w:r>
              <w:rPr>
                <w:rFonts w:ascii="Arial" w:hAnsi="Arial" w:cs="Arial"/>
              </w:rPr>
              <w:tab/>
            </w:r>
            <w:r>
              <w:rPr>
                <w:rFonts w:ascii="Arial" w:hAnsi="Arial" w:cs="Arial"/>
              </w:rPr>
              <w:t>ZEISS 0.4X large field of view camera assembly</w:t>
            </w:r>
          </w:p>
          <w:p w14:paraId="76EC8366">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蔡司0.4X大视场相机组件</w:t>
            </w:r>
          </w:p>
          <w:p w14:paraId="6A79E247">
            <w:pPr>
              <w:rPr>
                <w:rFonts w:ascii="Arial" w:hAnsi="Arial" w:cs="Arial"/>
              </w:rPr>
            </w:pPr>
            <w:r>
              <w:rPr>
                <w:rFonts w:ascii="Arial" w:hAnsi="Arial" w:cs="Arial"/>
              </w:rPr>
              <w:t>-</w:t>
            </w:r>
            <w:r>
              <w:rPr>
                <w:rFonts w:ascii="Arial" w:hAnsi="Arial" w:cs="Arial"/>
              </w:rPr>
              <w:tab/>
            </w:r>
            <w:r>
              <w:rPr>
                <w:rFonts w:ascii="Arial" w:hAnsi="Arial" w:cs="Arial"/>
              </w:rPr>
              <w:t>ZEISS high contrast, low resolution, 4X detector</w:t>
            </w:r>
          </w:p>
          <w:p w14:paraId="60EAB24E">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蔡司高对比度、低分辨率4X探测器</w:t>
            </w:r>
          </w:p>
          <w:p w14:paraId="26C7457C">
            <w:pPr>
              <w:rPr>
                <w:rFonts w:ascii="Arial" w:hAnsi="Arial" w:cs="Arial"/>
              </w:rPr>
            </w:pPr>
            <w:r>
              <w:rPr>
                <w:rFonts w:ascii="Arial" w:hAnsi="Arial" w:cs="Arial"/>
              </w:rPr>
              <w:t>-</w:t>
            </w:r>
            <w:r>
              <w:rPr>
                <w:rFonts w:ascii="Arial" w:hAnsi="Arial" w:cs="Arial"/>
              </w:rPr>
              <w:tab/>
            </w:r>
            <w:r>
              <w:rPr>
                <w:rFonts w:ascii="Arial" w:hAnsi="Arial" w:cs="Arial"/>
              </w:rPr>
              <w:t>ZEISS high contrast, ultra-high resolution, 20X detector for high energy, 20X-HE</w:t>
            </w:r>
          </w:p>
          <w:p w14:paraId="45C17625">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蔡司高对比度、高分辨率高能量20X探测器</w:t>
            </w:r>
          </w:p>
          <w:p w14:paraId="29DE49F3">
            <w:pPr>
              <w:rPr>
                <w:rFonts w:ascii="Arial" w:hAnsi="Arial" w:cs="Arial"/>
              </w:rPr>
            </w:pPr>
            <w:r>
              <w:rPr>
                <w:rFonts w:ascii="Arial" w:hAnsi="Arial" w:cs="Arial"/>
              </w:rPr>
              <w:t>-</w:t>
            </w:r>
            <w:r>
              <w:rPr>
                <w:rFonts w:ascii="Arial" w:hAnsi="Arial" w:cs="Arial"/>
              </w:rPr>
              <w:tab/>
            </w:r>
            <w:r>
              <w:rPr>
                <w:rFonts w:ascii="Arial" w:hAnsi="Arial" w:cs="Arial"/>
              </w:rPr>
              <w:t>4-axis tomography motorized precision sample stage with load capacity of 25kg, with 360 degree capability</w:t>
            </w:r>
          </w:p>
          <w:p w14:paraId="4FC7C751">
            <w:pPr>
              <w:rPr>
                <w:rFonts w:ascii="Arial" w:hAnsi="Arial" w:cs="Arial"/>
              </w:rPr>
            </w:pPr>
            <w:r>
              <w:rPr>
                <w:rFonts w:ascii="Arial" w:hAnsi="Arial" w:cs="Arial"/>
              </w:rPr>
              <w:t>-</w:t>
            </w:r>
            <w:r>
              <w:rPr>
                <w:rFonts w:ascii="Arial" w:hAnsi="Arial" w:cs="Arial"/>
              </w:rPr>
              <w:tab/>
            </w:r>
            <w:r>
              <w:rPr>
                <w:rFonts w:hint="eastAsia" w:ascii="Arial" w:hAnsi="Arial" w:cs="Arial"/>
              </w:rPr>
              <w:t>高精度</w:t>
            </w:r>
            <w:r>
              <w:rPr>
                <w:rFonts w:ascii="Arial" w:hAnsi="Arial" w:cs="Arial"/>
              </w:rPr>
              <w:t>4</w:t>
            </w:r>
            <w:r>
              <w:rPr>
                <w:rFonts w:hint="eastAsia" w:ascii="Arial" w:hAnsi="Arial" w:cs="Arial"/>
              </w:rPr>
              <w:t>轴断层扫描马达样品台</w:t>
            </w:r>
            <w:r>
              <w:rPr>
                <w:rFonts w:ascii="Arial" w:hAnsi="Arial" w:cs="Arial"/>
              </w:rPr>
              <w:t>, 360</w:t>
            </w:r>
            <w:r>
              <w:rPr>
                <w:rFonts w:hint="eastAsia" w:ascii="Arial" w:hAnsi="Arial" w:cs="Arial"/>
              </w:rPr>
              <w:t>°旋转</w:t>
            </w:r>
            <w:r>
              <w:rPr>
                <w:rFonts w:ascii="Arial" w:hAnsi="Arial" w:cs="Arial"/>
              </w:rPr>
              <w:t xml:space="preserve">, </w:t>
            </w:r>
            <w:r>
              <w:rPr>
                <w:rFonts w:hint="eastAsia" w:ascii="Arial" w:hAnsi="Arial" w:cs="Arial"/>
              </w:rPr>
              <w:t>承载能力</w:t>
            </w:r>
            <w:r>
              <w:rPr>
                <w:rFonts w:ascii="Arial" w:hAnsi="Arial" w:cs="Arial"/>
              </w:rPr>
              <w:t>25kg</w:t>
            </w:r>
          </w:p>
          <w:p w14:paraId="3E3658AD">
            <w:pPr>
              <w:rPr>
                <w:rFonts w:ascii="Arial" w:hAnsi="Arial" w:cs="Arial"/>
              </w:rPr>
            </w:pPr>
            <w:r>
              <w:rPr>
                <w:rFonts w:ascii="Arial" w:hAnsi="Arial" w:cs="Arial"/>
              </w:rPr>
              <w:t>-</w:t>
            </w:r>
            <w:r>
              <w:rPr>
                <w:rFonts w:ascii="Arial" w:hAnsi="Arial" w:cs="Arial"/>
              </w:rPr>
              <w:tab/>
            </w:r>
            <w:r>
              <w:rPr>
                <w:rFonts w:ascii="Arial" w:hAnsi="Arial" w:cs="Arial"/>
              </w:rPr>
              <w:t>ZEISS extended travel, high precision, granite staging</w:t>
            </w:r>
          </w:p>
          <w:p w14:paraId="45F4AE0D">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大移动范围、高精度花岗岩工作台</w:t>
            </w:r>
          </w:p>
          <w:p w14:paraId="56C61452">
            <w:pPr>
              <w:rPr>
                <w:rFonts w:ascii="Arial" w:hAnsi="Arial" w:cs="Arial"/>
              </w:rPr>
            </w:pPr>
            <w:r>
              <w:rPr>
                <w:rFonts w:ascii="Arial" w:hAnsi="Arial" w:cs="Arial"/>
              </w:rPr>
              <w:t>-</w:t>
            </w:r>
            <w:r>
              <w:rPr>
                <w:rFonts w:ascii="Arial" w:hAnsi="Arial" w:cs="Arial"/>
              </w:rPr>
              <w:tab/>
            </w:r>
            <w:r>
              <w:rPr>
                <w:rFonts w:ascii="Arial" w:hAnsi="Arial" w:cs="Arial"/>
              </w:rPr>
              <w:t>Radiation safe 4-door steel enclosure with redundant safety interlock, temperature control and X-ray on indicator light</w:t>
            </w:r>
          </w:p>
          <w:p w14:paraId="08066156">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四门式辐射安全屏蔽罩, 配备辐射安全连锁装置和“X-ray on”指示器</w:t>
            </w:r>
          </w:p>
          <w:p w14:paraId="77D0E805">
            <w:pPr>
              <w:rPr>
                <w:rFonts w:ascii="Arial" w:hAnsi="Arial" w:cs="Arial"/>
              </w:rPr>
            </w:pPr>
            <w:r>
              <w:rPr>
                <w:rFonts w:ascii="Arial" w:hAnsi="Arial" w:cs="Arial"/>
              </w:rPr>
              <w:t>-</w:t>
            </w:r>
            <w:r>
              <w:rPr>
                <w:rFonts w:ascii="Arial" w:hAnsi="Arial" w:cs="Arial"/>
              </w:rPr>
              <w:tab/>
            </w:r>
            <w:r>
              <w:rPr>
                <w:rFonts w:ascii="Arial" w:hAnsi="Arial" w:cs="Arial"/>
              </w:rPr>
              <w:t>Interior visual light camera</w:t>
            </w:r>
          </w:p>
          <w:p w14:paraId="24620878">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机箱内部可见光相机</w:t>
            </w:r>
          </w:p>
          <w:p w14:paraId="5FEBB8C9">
            <w:pPr>
              <w:rPr>
                <w:rFonts w:ascii="Arial" w:hAnsi="Arial" w:cs="Arial"/>
              </w:rPr>
            </w:pPr>
            <w:r>
              <w:rPr>
                <w:rFonts w:ascii="Arial" w:hAnsi="Arial" w:cs="Arial"/>
              </w:rPr>
              <w:t>-</w:t>
            </w:r>
            <w:r>
              <w:rPr>
                <w:rFonts w:ascii="Arial" w:hAnsi="Arial" w:cs="Arial"/>
              </w:rPr>
              <w:tab/>
            </w:r>
            <w:r>
              <w:rPr>
                <w:rFonts w:ascii="Arial" w:hAnsi="Arial" w:cs="Arial"/>
              </w:rPr>
              <w:t>Ergonomic user console attached to the VersaXRM Versa</w:t>
            </w:r>
          </w:p>
          <w:p w14:paraId="711CE503">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人体工学用户操控台</w:t>
            </w:r>
          </w:p>
          <w:p w14:paraId="7C8A96CD">
            <w:pPr>
              <w:rPr>
                <w:rFonts w:ascii="Arial" w:hAnsi="Arial" w:cs="Arial"/>
              </w:rPr>
            </w:pPr>
            <w:r>
              <w:rPr>
                <w:rFonts w:ascii="Arial" w:hAnsi="Arial" w:cs="Arial"/>
              </w:rPr>
              <w:t>-</w:t>
            </w:r>
            <w:r>
              <w:rPr>
                <w:rFonts w:ascii="Arial" w:hAnsi="Arial" w:cs="Arial"/>
              </w:rPr>
              <w:tab/>
            </w:r>
            <w:r>
              <w:rPr>
                <w:rFonts w:ascii="Arial" w:hAnsi="Arial" w:cs="Arial"/>
              </w:rPr>
              <w:t>ZEISS VersaXRM Software Bundle which includes:</w:t>
            </w:r>
          </w:p>
          <w:p w14:paraId="6BC83A45">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蔡司VersaXRM软件包（最新版本），包括：</w:t>
            </w:r>
          </w:p>
          <w:p w14:paraId="7B705662">
            <w:pPr>
              <w:rPr>
                <w:rFonts w:ascii="Arial" w:hAnsi="Arial" w:cs="Arial"/>
              </w:rPr>
            </w:pPr>
            <w:r>
              <w:rPr>
                <w:rFonts w:ascii="Arial" w:hAnsi="Arial" w:cs="Arial"/>
              </w:rPr>
              <w:t>-</w:t>
            </w:r>
            <w:r>
              <w:rPr>
                <w:rFonts w:ascii="Arial" w:hAnsi="Arial" w:cs="Arial"/>
              </w:rPr>
              <w:tab/>
            </w:r>
            <w:r>
              <w:rPr>
                <w:rFonts w:ascii="Arial" w:hAnsi="Arial" w:cs="Arial"/>
              </w:rPr>
              <w:t>ZEN navx data acquisition software with integrated navx 3D Viewer and XRM Python API</w:t>
            </w:r>
          </w:p>
          <w:p w14:paraId="1FAEEE68">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ZEN navx数据采集控制软件，集成navx 3D可视化浏览器和开放Python API接口</w:t>
            </w:r>
          </w:p>
          <w:p w14:paraId="14FCC88D">
            <w:pPr>
              <w:rPr>
                <w:rFonts w:ascii="Arial" w:hAnsi="Arial" w:cs="Arial"/>
              </w:rPr>
            </w:pPr>
            <w:r>
              <w:rPr>
                <w:rFonts w:ascii="Arial" w:hAnsi="Arial" w:cs="Arial"/>
              </w:rPr>
              <w:t>-</w:t>
            </w:r>
            <w:r>
              <w:rPr>
                <w:rFonts w:ascii="Arial" w:hAnsi="Arial" w:cs="Arial"/>
              </w:rPr>
              <w:tab/>
            </w:r>
            <w:r>
              <w:rPr>
                <w:rFonts w:ascii="Arial" w:hAnsi="Arial" w:cs="Arial"/>
              </w:rPr>
              <w:t>ZEISS GPU-based 3D tomography image reconstruction software</w:t>
            </w:r>
          </w:p>
          <w:p w14:paraId="40A6889D">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蔡司基于GPU单元的三维断层图像重建软件</w:t>
            </w:r>
          </w:p>
          <w:p w14:paraId="4FD3BC23">
            <w:pPr>
              <w:rPr>
                <w:rFonts w:ascii="Arial" w:hAnsi="Arial" w:cs="Arial"/>
              </w:rPr>
            </w:pPr>
            <w:r>
              <w:rPr>
                <w:rFonts w:ascii="Arial" w:hAnsi="Arial" w:cs="Arial"/>
              </w:rPr>
              <w:t>-</w:t>
            </w:r>
            <w:r>
              <w:rPr>
                <w:rFonts w:ascii="Arial" w:hAnsi="Arial" w:cs="Arial"/>
              </w:rPr>
              <w:tab/>
            </w:r>
            <w:r>
              <w:rPr>
                <w:rFonts w:ascii="Arial" w:hAnsi="Arial" w:cs="Arial"/>
              </w:rPr>
              <w:t>3D View ZEISS edition software for 3D data visualization</w:t>
            </w:r>
          </w:p>
          <w:p w14:paraId="08E56109">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三维可视化软件</w:t>
            </w:r>
          </w:p>
          <w:p w14:paraId="62C85356">
            <w:pPr>
              <w:rPr>
                <w:rFonts w:ascii="Arial" w:hAnsi="Arial" w:cs="Arial"/>
              </w:rPr>
            </w:pPr>
            <w:r>
              <w:rPr>
                <w:rFonts w:ascii="Arial" w:hAnsi="Arial" w:cs="Arial"/>
              </w:rPr>
              <w:t>-</w:t>
            </w:r>
            <w:r>
              <w:rPr>
                <w:rFonts w:ascii="Arial" w:hAnsi="Arial" w:cs="Arial"/>
              </w:rPr>
              <w:tab/>
            </w:r>
            <w:r>
              <w:rPr>
                <w:rFonts w:ascii="Arial" w:hAnsi="Arial" w:cs="Arial"/>
              </w:rPr>
              <w:t>High speed workstation with dual graphics accelerator</w:t>
            </w:r>
          </w:p>
          <w:p w14:paraId="3A31E581">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带双图形加速的高速工作站</w:t>
            </w:r>
          </w:p>
          <w:p w14:paraId="273E68D8">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系统控制和图像采集终端</w:t>
            </w:r>
          </w:p>
          <w:p w14:paraId="2048FE49">
            <w:pPr>
              <w:rPr>
                <w:rFonts w:ascii="Arial" w:hAnsi="Arial" w:cs="Arial"/>
              </w:rPr>
            </w:pPr>
            <w:r>
              <w:rPr>
                <w:rFonts w:ascii="Arial" w:hAnsi="Arial" w:cs="Arial"/>
              </w:rPr>
              <w:t>-</w:t>
            </w:r>
            <w:r>
              <w:rPr>
                <w:rFonts w:ascii="Arial" w:hAnsi="Arial" w:cs="Arial"/>
              </w:rPr>
              <w:tab/>
            </w:r>
            <w:r>
              <w:rPr>
                <w:rFonts w:ascii="Arial" w:hAnsi="Arial" w:cs="Arial"/>
              </w:rPr>
              <w:t>ZEISS VersaXRM alignment and calibration standard</w:t>
            </w:r>
          </w:p>
          <w:p w14:paraId="2B500BDD">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蔡司VersaXRM 对中和分辨率测试标样</w:t>
            </w:r>
          </w:p>
          <w:p w14:paraId="38E3F2DB">
            <w:pPr>
              <w:rPr>
                <w:rFonts w:ascii="Arial" w:hAnsi="Arial" w:cs="Arial"/>
              </w:rPr>
            </w:pPr>
            <w:r>
              <w:rPr>
                <w:rFonts w:ascii="Arial" w:hAnsi="Arial" w:cs="Arial"/>
              </w:rPr>
              <w:t>-</w:t>
            </w:r>
            <w:r>
              <w:rPr>
                <w:rFonts w:ascii="Arial" w:hAnsi="Arial" w:cs="Arial"/>
              </w:rPr>
              <w:tab/>
            </w:r>
            <w:r>
              <w:rPr>
                <w:rFonts w:ascii="Arial" w:hAnsi="Arial" w:cs="Arial"/>
              </w:rPr>
              <w:t>Standard filter kit of 12 filters</w:t>
            </w:r>
          </w:p>
          <w:p w14:paraId="1BE87FAC">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标准X射线过滤器套件, 12个过滤器</w:t>
            </w:r>
          </w:p>
          <w:p w14:paraId="4176A13B">
            <w:pPr>
              <w:rPr>
                <w:rFonts w:ascii="Arial" w:hAnsi="Arial" w:cs="Arial"/>
              </w:rPr>
            </w:pPr>
            <w:r>
              <w:rPr>
                <w:rFonts w:ascii="Arial" w:hAnsi="Arial" w:cs="Arial"/>
              </w:rPr>
              <w:t>-</w:t>
            </w:r>
            <w:r>
              <w:rPr>
                <w:rFonts w:ascii="Arial" w:hAnsi="Arial" w:cs="Arial"/>
              </w:rPr>
              <w:tab/>
            </w:r>
            <w:r>
              <w:rPr>
                <w:rFonts w:hint="eastAsia" w:ascii="Arial" w:hAnsi="Arial" w:cs="Arial"/>
              </w:rPr>
              <w:t>备用X射线源1套</w:t>
            </w:r>
          </w:p>
          <w:p w14:paraId="7F1433AA">
            <w:pPr>
              <w:rPr>
                <w:rFonts w:ascii="Arial" w:hAnsi="Arial" w:cs="Arial"/>
              </w:rPr>
            </w:pPr>
            <w:r>
              <w:rPr>
                <w:rFonts w:ascii="Arial" w:hAnsi="Arial" w:cs="Arial"/>
              </w:rPr>
              <w:t>-</w:t>
            </w:r>
            <w:r>
              <w:rPr>
                <w:rFonts w:ascii="Arial" w:hAnsi="Arial" w:cs="Arial"/>
              </w:rPr>
              <w:tab/>
            </w:r>
            <w:r>
              <w:rPr>
                <w:rFonts w:ascii="Arial" w:hAnsi="Arial" w:cs="Arial"/>
              </w:rPr>
              <w:t>ZEISS sample holder for XRM</w:t>
            </w:r>
          </w:p>
          <w:p w14:paraId="450EFBCA">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蔡司样品座，样品夹一套</w:t>
            </w:r>
          </w:p>
          <w:p w14:paraId="6ADE581C">
            <w:pPr>
              <w:rPr>
                <w:rFonts w:ascii="Arial" w:hAnsi="Arial" w:cs="Arial"/>
              </w:rPr>
            </w:pPr>
            <w:r>
              <w:rPr>
                <w:rFonts w:ascii="Arial" w:hAnsi="Arial" w:cs="Arial"/>
              </w:rPr>
              <w:t>-</w:t>
            </w:r>
            <w:r>
              <w:rPr>
                <w:rFonts w:ascii="Arial" w:hAnsi="Arial" w:cs="Arial"/>
              </w:rPr>
              <w:tab/>
            </w:r>
            <w:r>
              <w:rPr>
                <w:rFonts w:ascii="Arial" w:hAnsi="Arial" w:cs="Arial"/>
              </w:rPr>
              <w:t>ZEISS VersaXRM Versa high contrast, ultrahigh resolution 40X detector assembly kit for 6xx Versa</w:t>
            </w:r>
          </w:p>
          <w:p w14:paraId="6EE7214E">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蔡司6系列定制高对比度、超高分辨率40X探测器</w:t>
            </w:r>
          </w:p>
          <w:p w14:paraId="33F5A659">
            <w:pPr>
              <w:rPr>
                <w:rFonts w:ascii="Arial" w:hAnsi="Arial" w:cs="Arial"/>
              </w:rPr>
            </w:pPr>
            <w:r>
              <w:rPr>
                <w:rFonts w:ascii="Arial" w:hAnsi="Arial" w:cs="Arial"/>
              </w:rPr>
              <w:t>-</w:t>
            </w:r>
            <w:r>
              <w:rPr>
                <w:rFonts w:ascii="Arial" w:hAnsi="Arial" w:cs="Arial"/>
              </w:rPr>
              <w:tab/>
            </w:r>
            <w:r>
              <w:rPr>
                <w:rFonts w:ascii="Arial" w:hAnsi="Arial" w:cs="Arial"/>
              </w:rPr>
              <w:t>ZEISS VersaXRM/Context microCT/CrystalCT/Ultra Secondary High-Performance Workstation.</w:t>
            </w:r>
          </w:p>
          <w:p w14:paraId="71FB654B">
            <w:pPr>
              <w:rPr>
                <w:rFonts w:ascii="Arial" w:hAnsi="Arial" w:cs="Arial"/>
              </w:rPr>
            </w:pPr>
            <w:r>
              <w:rPr>
                <w:rFonts w:ascii="Arial" w:hAnsi="Arial" w:cs="Arial"/>
              </w:rPr>
              <w:t>-</w:t>
            </w:r>
            <w:r>
              <w:rPr>
                <w:rFonts w:ascii="Arial" w:hAnsi="Arial" w:cs="Arial"/>
              </w:rPr>
              <w:tab/>
            </w:r>
            <w:r>
              <w:rPr>
                <w:rFonts w:hint="eastAsia" w:ascii="Arial" w:hAnsi="Arial" w:cs="Arial"/>
              </w:rPr>
              <w:t>高性能工作站1套</w:t>
            </w:r>
          </w:p>
          <w:p w14:paraId="5469DA97">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基于 AI 人工智能深度学习的高级三维重构模块Tomographic reconstruction software with optimized AI-based algorithms</w:t>
            </w:r>
          </w:p>
          <w:p w14:paraId="7BF3C5DE">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带深度学习模块的三维数据分析软件</w:t>
            </w:r>
          </w:p>
          <w:p w14:paraId="51FACEE2">
            <w:pPr>
              <w:rPr>
                <w:rFonts w:ascii="Arial" w:hAnsi="Arial" w:cs="Arial"/>
              </w:rPr>
            </w:pPr>
            <w:r>
              <w:rPr>
                <w:rFonts w:ascii="Arial" w:hAnsi="Arial" w:cs="Arial"/>
              </w:rPr>
              <w:t>-</w:t>
            </w:r>
            <w:r>
              <w:rPr>
                <w:rFonts w:ascii="Arial" w:hAnsi="Arial" w:cs="Arial"/>
              </w:rPr>
              <w:tab/>
            </w:r>
            <w:r>
              <w:rPr>
                <w:rFonts w:ascii="Arial" w:hAnsi="Arial" w:cs="Arial"/>
              </w:rPr>
              <w:t xml:space="preserve">3D World ZEISS edition </w:t>
            </w:r>
          </w:p>
          <w:p w14:paraId="1DDF8A0C">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原位拉伸压缩加热台</w:t>
            </w:r>
          </w:p>
          <w:p w14:paraId="23BFAEF3">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系统预留具备辐射安全功能的管道或电缆引入装置。</w:t>
            </w:r>
          </w:p>
          <w:p w14:paraId="0BA769C9">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可在X射线显微镜内进行原位拉伸、压缩和加热试验，同时进行X射线成像扫描；</w:t>
            </w:r>
          </w:p>
          <w:p w14:paraId="3091FEC4">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测试压力和拉伸力，5000N；</w:t>
            </w:r>
          </w:p>
          <w:p w14:paraId="6BE76843">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温度范围：-100℃- +1200℃。</w:t>
            </w:r>
          </w:p>
          <w:p w14:paraId="2797C1FC">
            <w:pPr>
              <w:rPr>
                <w:rFonts w:ascii="Arial" w:hAnsi="Arial" w:cs="Arial"/>
              </w:rPr>
            </w:pPr>
            <w:r>
              <w:rPr>
                <w:rFonts w:hint="eastAsia" w:ascii="Arial" w:hAnsi="Arial" w:cs="Arial"/>
              </w:rPr>
              <w:t>-</w:t>
            </w:r>
            <w:r>
              <w:rPr>
                <w:rFonts w:hint="eastAsia" w:ascii="Arial" w:hAnsi="Arial" w:cs="Arial"/>
              </w:rPr>
              <w:tab/>
            </w:r>
            <w:r>
              <w:rPr>
                <w:rFonts w:hint="eastAsia" w:ascii="Arial" w:hAnsi="Arial" w:cs="Arial"/>
              </w:rPr>
              <w:t>配有位移控制系统和力学分析软件。</w:t>
            </w:r>
          </w:p>
        </w:tc>
        <w:tc>
          <w:tcPr>
            <w:tcW w:w="491" w:type="pct"/>
            <w:tcBorders>
              <w:top w:val="single" w:color="auto" w:sz="4" w:space="0"/>
            </w:tcBorders>
            <w:vAlign w:val="center"/>
          </w:tcPr>
          <w:p w14:paraId="03F9ACE7">
            <w:pPr>
              <w:jc w:val="center"/>
              <w:rPr>
                <w:rFonts w:ascii="Arial" w:hAnsi="Arial" w:cs="Arial"/>
              </w:rPr>
            </w:pPr>
            <w:r>
              <w:rPr>
                <w:rFonts w:hint="eastAsia" w:ascii="Arial" w:hAnsi="Arial" w:cs="Arial"/>
              </w:rPr>
              <w:t>1</w:t>
            </w:r>
          </w:p>
        </w:tc>
      </w:tr>
      <w:tr w14:paraId="6179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335" w:type="pct"/>
            <w:vAlign w:val="center"/>
          </w:tcPr>
          <w:p w14:paraId="48DD8749">
            <w:pPr>
              <w:jc w:val="center"/>
              <w:rPr>
                <w:rFonts w:ascii="Arial" w:hAnsi="Arial" w:cs="Arial"/>
              </w:rPr>
            </w:pPr>
            <w:r>
              <w:rPr>
                <w:rFonts w:hint="eastAsia" w:ascii="Arial" w:hAnsi="Arial" w:cs="Arial"/>
              </w:rPr>
              <w:t>2</w:t>
            </w:r>
          </w:p>
        </w:tc>
        <w:tc>
          <w:tcPr>
            <w:tcW w:w="1020" w:type="pct"/>
            <w:vAlign w:val="center"/>
          </w:tcPr>
          <w:p w14:paraId="759BD308">
            <w:pPr>
              <w:jc w:val="center"/>
              <w:rPr>
                <w:rFonts w:ascii="Arial" w:hAnsi="Arial" w:cs="Arial"/>
              </w:rPr>
            </w:pPr>
            <w:r>
              <w:rPr>
                <w:rFonts w:hint="eastAsia" w:ascii="Arial" w:hAnsi="Arial" w:cs="Arial"/>
              </w:rPr>
              <w:t>激光共聚焦显微镜</w:t>
            </w:r>
          </w:p>
        </w:tc>
        <w:tc>
          <w:tcPr>
            <w:tcW w:w="3155" w:type="pct"/>
            <w:vAlign w:val="center"/>
          </w:tcPr>
          <w:p w14:paraId="75FBE01A">
            <w:pPr>
              <w:rPr>
                <w:rFonts w:ascii="Arial" w:hAnsi="Arial" w:cs="Arial"/>
              </w:rPr>
            </w:pPr>
            <w:r>
              <w:rPr>
                <w:rFonts w:hint="eastAsia" w:ascii="Arial" w:hAnsi="Arial" w:cs="Arial"/>
              </w:rPr>
              <w:t>LSM 910共聚焦显微镜主机及相机。</w:t>
            </w:r>
          </w:p>
          <w:p w14:paraId="5AD12B92">
            <w:pPr>
              <w:rPr>
                <w:rFonts w:ascii="Arial" w:hAnsi="Arial" w:cs="Arial"/>
              </w:rPr>
            </w:pPr>
            <w:r>
              <w:rPr>
                <w:rFonts w:ascii="Arial" w:hAnsi="Arial" w:cs="Arial"/>
              </w:rPr>
              <w:t>Axio Imager.Z2m Stand LSM 910</w:t>
            </w:r>
          </w:p>
          <w:p w14:paraId="2581700F">
            <w:pPr>
              <w:rPr>
                <w:rFonts w:ascii="Arial" w:hAnsi="Arial" w:cs="Arial"/>
              </w:rPr>
            </w:pPr>
            <w:r>
              <w:rPr>
                <w:rFonts w:hint="eastAsia" w:ascii="Arial" w:hAnsi="Arial" w:cs="Arial"/>
              </w:rPr>
              <w:t>LSM 910 专用 Axio Imager.Z2m 显微镜机架</w:t>
            </w:r>
          </w:p>
          <w:p w14:paraId="71B4B821">
            <w:pPr>
              <w:rPr>
                <w:rFonts w:ascii="Arial" w:hAnsi="Arial" w:cs="Arial"/>
              </w:rPr>
            </w:pPr>
            <w:r>
              <w:rPr>
                <w:rFonts w:ascii="Arial" w:hAnsi="Arial" w:cs="Arial"/>
              </w:rPr>
              <w:t>Stop slider Set man Imager LSM</w:t>
            </w:r>
          </w:p>
          <w:p w14:paraId="3D08AB2C">
            <w:pPr>
              <w:rPr>
                <w:rFonts w:ascii="Arial" w:hAnsi="Arial" w:cs="Arial"/>
              </w:rPr>
            </w:pPr>
            <w:r>
              <w:rPr>
                <w:rFonts w:hint="eastAsia" w:ascii="Arial" w:hAnsi="Arial" w:cs="Arial"/>
              </w:rPr>
              <w:t>LSM 专用 Axio Imager 手动光阑</w:t>
            </w:r>
          </w:p>
          <w:p w14:paraId="109B8117">
            <w:pPr>
              <w:rPr>
                <w:rFonts w:ascii="Arial" w:hAnsi="Arial" w:cs="Arial"/>
              </w:rPr>
            </w:pPr>
            <w:r>
              <w:rPr>
                <w:rFonts w:ascii="Arial" w:hAnsi="Arial" w:cs="Arial"/>
              </w:rPr>
              <w:t xml:space="preserve">Stage Carrier Detachable for Axio Imager </w:t>
            </w:r>
          </w:p>
          <w:p w14:paraId="38B41B7C">
            <w:pPr>
              <w:rPr>
                <w:rFonts w:ascii="Arial" w:hAnsi="Arial" w:cs="Arial"/>
              </w:rPr>
            </w:pPr>
            <w:r>
              <w:rPr>
                <w:rFonts w:hint="eastAsia" w:ascii="Arial" w:hAnsi="Arial" w:cs="Arial"/>
              </w:rPr>
              <w:t>Axio Imager 可拆卸支架</w:t>
            </w:r>
          </w:p>
          <w:p w14:paraId="708F2C80">
            <w:pPr>
              <w:rPr>
                <w:rFonts w:ascii="Arial" w:hAnsi="Arial" w:cs="Arial"/>
              </w:rPr>
            </w:pPr>
            <w:r>
              <w:rPr>
                <w:rFonts w:ascii="Arial" w:hAnsi="Arial" w:cs="Arial"/>
              </w:rPr>
              <w:t>Illuminator microLED</w:t>
            </w:r>
          </w:p>
          <w:p w14:paraId="3FAB1D24">
            <w:pPr>
              <w:rPr>
                <w:rFonts w:ascii="Arial" w:hAnsi="Arial" w:cs="Arial"/>
              </w:rPr>
            </w:pPr>
            <w:r>
              <w:rPr>
                <w:rFonts w:hint="eastAsia" w:ascii="Arial" w:hAnsi="Arial" w:cs="Arial"/>
              </w:rPr>
              <w:t>高亮度长寿命LED 光源</w:t>
            </w:r>
          </w:p>
          <w:p w14:paraId="2289C49F">
            <w:pPr>
              <w:rPr>
                <w:rFonts w:ascii="Arial" w:hAnsi="Arial" w:cs="Arial"/>
              </w:rPr>
            </w:pPr>
            <w:r>
              <w:rPr>
                <w:rFonts w:ascii="Arial" w:hAnsi="Arial" w:cs="Arial"/>
              </w:rPr>
              <w:t>Camera Axiocam 305 color R2</w:t>
            </w:r>
          </w:p>
          <w:p w14:paraId="1A48D9BC">
            <w:pPr>
              <w:rPr>
                <w:rFonts w:ascii="Arial" w:hAnsi="Arial" w:cs="Arial"/>
              </w:rPr>
            </w:pPr>
            <w:r>
              <w:rPr>
                <w:rFonts w:hint="eastAsia" w:ascii="Arial" w:hAnsi="Arial" w:cs="Arial"/>
              </w:rPr>
              <w:t>500万像素高速相机彩色相机</w:t>
            </w:r>
          </w:p>
          <w:p w14:paraId="77D5D031">
            <w:pPr>
              <w:rPr>
                <w:rFonts w:ascii="Arial" w:hAnsi="Arial" w:cs="Arial"/>
              </w:rPr>
            </w:pPr>
            <w:r>
              <w:rPr>
                <w:rFonts w:ascii="Arial" w:hAnsi="Arial" w:cs="Arial"/>
              </w:rPr>
              <w:t>C-Mount Adapter 60N C 2/3" 0.63x</w:t>
            </w:r>
          </w:p>
          <w:p w14:paraId="60A0F244">
            <w:pPr>
              <w:rPr>
                <w:rFonts w:ascii="Arial" w:hAnsi="Arial" w:cs="Arial"/>
              </w:rPr>
            </w:pPr>
            <w:r>
              <w:rPr>
                <w:rFonts w:hint="eastAsia" w:ascii="Arial" w:hAnsi="Arial" w:cs="Arial"/>
              </w:rPr>
              <w:t>C型相机接口</w:t>
            </w:r>
          </w:p>
          <w:p w14:paraId="197B0E52">
            <w:pPr>
              <w:rPr>
                <w:rFonts w:ascii="Arial" w:hAnsi="Arial" w:cs="Arial"/>
              </w:rPr>
            </w:pPr>
            <w:r>
              <w:rPr>
                <w:rFonts w:hint="eastAsia" w:ascii="Arial" w:hAnsi="Arial" w:cs="Arial"/>
              </w:rPr>
              <w:t>激光光源及探测器</w:t>
            </w:r>
          </w:p>
          <w:p w14:paraId="20E11DAF">
            <w:pPr>
              <w:rPr>
                <w:rFonts w:ascii="Arial" w:hAnsi="Arial" w:cs="Arial"/>
              </w:rPr>
            </w:pPr>
            <w:r>
              <w:rPr>
                <w:rFonts w:hint="eastAsia" w:ascii="Arial" w:hAnsi="Arial" w:cs="Arial"/>
              </w:rPr>
              <w:t>-高功率405nm激光器作为照明光源，PMT探测器收集信号</w:t>
            </w:r>
          </w:p>
          <w:p w14:paraId="773C7765">
            <w:pPr>
              <w:rPr>
                <w:rFonts w:ascii="Arial" w:hAnsi="Arial" w:cs="Arial"/>
              </w:rPr>
            </w:pPr>
            <w:r>
              <w:rPr>
                <w:rFonts w:ascii="Arial" w:hAnsi="Arial" w:cs="Arial"/>
              </w:rPr>
              <w:t xml:space="preserve">Laser module LM U f/LSM 910 </w:t>
            </w:r>
          </w:p>
          <w:p w14:paraId="65BD6011">
            <w:pPr>
              <w:rPr>
                <w:rFonts w:ascii="Arial" w:hAnsi="Arial" w:cs="Arial"/>
              </w:rPr>
            </w:pPr>
            <w:r>
              <w:rPr>
                <w:rFonts w:hint="eastAsia" w:ascii="Arial" w:hAnsi="Arial" w:cs="Arial"/>
              </w:rPr>
              <w:t>LSM 910 MAT 激光模块（405nm）</w:t>
            </w:r>
          </w:p>
          <w:p w14:paraId="2D1B481D">
            <w:pPr>
              <w:rPr>
                <w:rFonts w:ascii="Arial" w:hAnsi="Arial" w:cs="Arial"/>
              </w:rPr>
            </w:pPr>
            <w:r>
              <w:rPr>
                <w:rFonts w:ascii="Arial" w:hAnsi="Arial" w:cs="Arial"/>
              </w:rPr>
              <w:t xml:space="preserve">Scan module 1-channel MAT f/LSM 900 </w:t>
            </w:r>
          </w:p>
          <w:p w14:paraId="0AAA5582">
            <w:pPr>
              <w:rPr>
                <w:rFonts w:ascii="Arial" w:hAnsi="Arial" w:cs="Arial"/>
              </w:rPr>
            </w:pPr>
            <w:r>
              <w:rPr>
                <w:rFonts w:hint="eastAsia" w:ascii="Arial" w:hAnsi="Arial" w:cs="Arial"/>
              </w:rPr>
              <w:t>LSM 910 MAT 单通道共聚焦检测器</w:t>
            </w:r>
          </w:p>
          <w:p w14:paraId="439F0EF4">
            <w:pPr>
              <w:rPr>
                <w:rFonts w:ascii="Arial" w:hAnsi="Arial" w:cs="Arial"/>
              </w:rPr>
            </w:pPr>
            <w:r>
              <w:rPr>
                <w:rFonts w:ascii="Arial" w:hAnsi="Arial" w:cs="Arial"/>
              </w:rPr>
              <w:t xml:space="preserve">Adapter kit LSM 900 f/Axio Imager </w:t>
            </w:r>
          </w:p>
          <w:p w14:paraId="480D7F5B">
            <w:pPr>
              <w:rPr>
                <w:rFonts w:ascii="Arial" w:hAnsi="Arial" w:cs="Arial"/>
              </w:rPr>
            </w:pPr>
            <w:r>
              <w:rPr>
                <w:rFonts w:hint="eastAsia" w:ascii="Arial" w:hAnsi="Arial" w:cs="Arial"/>
              </w:rPr>
              <w:t>LSM 910 Axio Imager 连接组件</w:t>
            </w:r>
          </w:p>
          <w:p w14:paraId="48DBA24C">
            <w:pPr>
              <w:rPr>
                <w:rFonts w:ascii="Arial" w:hAnsi="Arial" w:cs="Arial"/>
              </w:rPr>
            </w:pPr>
            <w:r>
              <w:rPr>
                <w:rFonts w:hint="eastAsia" w:ascii="Arial" w:hAnsi="Arial" w:cs="Arial"/>
              </w:rPr>
              <w:t>高精度样品台</w:t>
            </w:r>
          </w:p>
          <w:p w14:paraId="2CEE0817">
            <w:pPr>
              <w:rPr>
                <w:rFonts w:ascii="Arial" w:hAnsi="Arial" w:cs="Arial"/>
              </w:rPr>
            </w:pPr>
            <w:r>
              <w:rPr>
                <w:rFonts w:hint="eastAsia" w:ascii="Arial" w:hAnsi="Arial" w:cs="Arial"/>
              </w:rPr>
              <w:t>电动载物台，行程130x85mm，进行自动拼图，纵向最小步进10nm。</w:t>
            </w:r>
          </w:p>
          <w:p w14:paraId="42B922F6">
            <w:pPr>
              <w:rPr>
                <w:rFonts w:ascii="Arial" w:hAnsi="Arial" w:cs="Arial"/>
              </w:rPr>
            </w:pPr>
            <w:r>
              <w:rPr>
                <w:rFonts w:ascii="Arial" w:hAnsi="Arial" w:cs="Arial"/>
              </w:rPr>
              <w:t>Scanning stage 130x85 STEP</w:t>
            </w:r>
          </w:p>
          <w:p w14:paraId="537F1194">
            <w:pPr>
              <w:rPr>
                <w:rFonts w:ascii="Arial" w:hAnsi="Arial" w:cs="Arial"/>
              </w:rPr>
            </w:pPr>
            <w:r>
              <w:rPr>
                <w:rFonts w:hint="eastAsia" w:ascii="Arial" w:hAnsi="Arial" w:cs="Arial"/>
              </w:rPr>
              <w:t>130x85 电动载物台</w:t>
            </w:r>
          </w:p>
          <w:p w14:paraId="4CD24F47">
            <w:pPr>
              <w:rPr>
                <w:rFonts w:ascii="Arial" w:hAnsi="Arial" w:cs="Arial"/>
              </w:rPr>
            </w:pPr>
            <w:r>
              <w:rPr>
                <w:rFonts w:ascii="Arial" w:hAnsi="Arial" w:cs="Arial"/>
              </w:rPr>
              <w:t>Stepper motor control f. 2 Axes SMC2009</w:t>
            </w:r>
          </w:p>
          <w:p w14:paraId="3B3841F1">
            <w:pPr>
              <w:rPr>
                <w:rFonts w:ascii="Arial" w:hAnsi="Arial" w:cs="Arial"/>
              </w:rPr>
            </w:pPr>
            <w:r>
              <w:rPr>
                <w:rFonts w:hint="eastAsia" w:ascii="Arial" w:hAnsi="Arial" w:cs="Arial"/>
              </w:rPr>
              <w:t xml:space="preserve"> XY电动载物台 控制器</w:t>
            </w:r>
          </w:p>
          <w:p w14:paraId="78468AA5">
            <w:pPr>
              <w:rPr>
                <w:rFonts w:ascii="Arial" w:hAnsi="Arial" w:cs="Arial"/>
              </w:rPr>
            </w:pPr>
            <w:r>
              <w:rPr>
                <w:rFonts w:ascii="Arial" w:hAnsi="Arial" w:cs="Arial"/>
              </w:rPr>
              <w:t>Joystick XY; CAN</w:t>
            </w:r>
          </w:p>
          <w:p w14:paraId="4541E2D0">
            <w:pPr>
              <w:rPr>
                <w:rFonts w:ascii="Arial" w:hAnsi="Arial" w:cs="Arial"/>
              </w:rPr>
            </w:pPr>
            <w:r>
              <w:rPr>
                <w:rFonts w:hint="eastAsia" w:ascii="Arial" w:hAnsi="Arial" w:cs="Arial"/>
              </w:rPr>
              <w:t>XY电动载物台 控制杆</w:t>
            </w:r>
          </w:p>
          <w:p w14:paraId="0BA71D9B">
            <w:pPr>
              <w:rPr>
                <w:rFonts w:ascii="Arial" w:hAnsi="Arial" w:cs="Arial"/>
              </w:rPr>
            </w:pPr>
            <w:r>
              <w:rPr>
                <w:rFonts w:ascii="Arial" w:hAnsi="Arial" w:cs="Arial"/>
              </w:rPr>
              <w:t>Metal Insert</w:t>
            </w:r>
          </w:p>
          <w:p w14:paraId="25278732">
            <w:pPr>
              <w:rPr>
                <w:rFonts w:ascii="Arial" w:hAnsi="Arial" w:cs="Arial"/>
              </w:rPr>
            </w:pPr>
            <w:r>
              <w:rPr>
                <w:rFonts w:hint="eastAsia" w:ascii="Arial" w:hAnsi="Arial" w:cs="Arial"/>
              </w:rPr>
              <w:t>金属样品承板</w:t>
            </w:r>
          </w:p>
          <w:p w14:paraId="787A525E">
            <w:pPr>
              <w:rPr>
                <w:rFonts w:ascii="Arial" w:hAnsi="Arial" w:cs="Arial"/>
              </w:rPr>
            </w:pPr>
            <w:r>
              <w:rPr>
                <w:rFonts w:ascii="Arial" w:hAnsi="Arial" w:cs="Arial"/>
              </w:rPr>
              <w:t>Linear Sensor f/Focus Drive Imager Z1/Z2</w:t>
            </w:r>
          </w:p>
          <w:p w14:paraId="07B6CBC0">
            <w:pPr>
              <w:rPr>
                <w:rFonts w:ascii="Arial" w:hAnsi="Arial" w:cs="Arial"/>
              </w:rPr>
            </w:pPr>
            <w:r>
              <w:rPr>
                <w:rFonts w:hint="eastAsia" w:ascii="Arial" w:hAnsi="Arial" w:cs="Arial"/>
              </w:rPr>
              <w:t>线性聚焦传感器</w:t>
            </w:r>
          </w:p>
          <w:p w14:paraId="0AB331EF">
            <w:pPr>
              <w:rPr>
                <w:rFonts w:ascii="Arial" w:hAnsi="Arial" w:cs="Arial"/>
              </w:rPr>
            </w:pPr>
            <w:r>
              <w:rPr>
                <w:rFonts w:ascii="Arial" w:hAnsi="Arial" w:cs="Arial"/>
              </w:rPr>
              <w:t>Holder for Focus Linear Sensor</w:t>
            </w:r>
          </w:p>
          <w:p w14:paraId="178F659C">
            <w:pPr>
              <w:rPr>
                <w:rFonts w:ascii="Arial" w:hAnsi="Arial" w:cs="Arial"/>
              </w:rPr>
            </w:pPr>
            <w:r>
              <w:rPr>
                <w:rFonts w:hint="eastAsia" w:ascii="Arial" w:hAnsi="Arial" w:cs="Arial"/>
              </w:rPr>
              <w:t>线性传感器支架</w:t>
            </w:r>
          </w:p>
          <w:p w14:paraId="7339C598">
            <w:pPr>
              <w:rPr>
                <w:rFonts w:ascii="Arial" w:hAnsi="Arial" w:cs="Arial"/>
              </w:rPr>
            </w:pPr>
            <w:r>
              <w:rPr>
                <w:rFonts w:hint="eastAsia" w:ascii="Arial" w:hAnsi="Arial" w:cs="Arial"/>
              </w:rPr>
              <w:t>共聚焦专用物镜</w:t>
            </w:r>
          </w:p>
          <w:p w14:paraId="0A5E53B4">
            <w:pPr>
              <w:rPr>
                <w:rFonts w:ascii="Arial" w:hAnsi="Arial" w:cs="Arial"/>
              </w:rPr>
            </w:pPr>
            <w:r>
              <w:rPr>
                <w:rFonts w:hint="eastAsia" w:ascii="Arial" w:hAnsi="Arial" w:cs="Arial"/>
              </w:rPr>
              <w:t>五个常用放大倍数物镜，其中5X,10X与50X为蔡司独有的共聚焦专用物镜，数值孔径大，信噪比高。</w:t>
            </w:r>
          </w:p>
          <w:p w14:paraId="5FBDE10D">
            <w:pPr>
              <w:rPr>
                <w:rFonts w:ascii="Arial" w:hAnsi="Arial" w:cs="Arial"/>
              </w:rPr>
            </w:pPr>
            <w:r>
              <w:rPr>
                <w:rFonts w:ascii="Arial" w:hAnsi="Arial" w:cs="Arial"/>
              </w:rPr>
              <w:t>EC EPIPLAN 5x/0.13 HD</w:t>
            </w:r>
          </w:p>
          <w:p w14:paraId="126FA690">
            <w:pPr>
              <w:rPr>
                <w:rFonts w:ascii="Arial" w:hAnsi="Arial" w:cs="Arial"/>
              </w:rPr>
            </w:pPr>
            <w:r>
              <w:rPr>
                <w:rFonts w:hint="eastAsia" w:ascii="Arial" w:hAnsi="Arial" w:cs="Arial"/>
              </w:rPr>
              <w:t>增强反差反射光平场明暗场物镜5x(NA0.13)</w:t>
            </w:r>
          </w:p>
          <w:p w14:paraId="605598EF">
            <w:pPr>
              <w:rPr>
                <w:rFonts w:ascii="Arial" w:hAnsi="Arial" w:cs="Arial"/>
              </w:rPr>
            </w:pPr>
            <w:r>
              <w:rPr>
                <w:rFonts w:ascii="Arial" w:hAnsi="Arial" w:cs="Arial"/>
              </w:rPr>
              <w:t>EC EPIPLAN 10x/0.25 HD</w:t>
            </w:r>
          </w:p>
          <w:p w14:paraId="4ED8F29F">
            <w:pPr>
              <w:rPr>
                <w:rFonts w:ascii="Arial" w:hAnsi="Arial" w:cs="Arial"/>
              </w:rPr>
            </w:pPr>
            <w:r>
              <w:rPr>
                <w:rFonts w:hint="eastAsia" w:ascii="Arial" w:hAnsi="Arial" w:cs="Arial"/>
              </w:rPr>
              <w:t>增强反差反射光平场明暗场物镜10x(NA0.25)</w:t>
            </w:r>
          </w:p>
          <w:p w14:paraId="73E0A9E1">
            <w:pPr>
              <w:rPr>
                <w:rFonts w:ascii="Arial" w:hAnsi="Arial" w:cs="Arial"/>
              </w:rPr>
            </w:pPr>
            <w:r>
              <w:rPr>
                <w:rFonts w:ascii="Arial" w:hAnsi="Arial" w:cs="Arial"/>
              </w:rPr>
              <w:t>C-Epiplan-APOCHROMAT 20x/0.70 DIC</w:t>
            </w:r>
          </w:p>
          <w:p w14:paraId="0CE22111">
            <w:pPr>
              <w:rPr>
                <w:rFonts w:ascii="Arial" w:hAnsi="Arial" w:cs="Arial"/>
              </w:rPr>
            </w:pPr>
            <w:r>
              <w:rPr>
                <w:rFonts w:hint="eastAsia" w:ascii="Arial" w:hAnsi="Arial" w:cs="Arial"/>
              </w:rPr>
              <w:t>平场复消色差反射光DIC物镜20x(NA0.7)</w:t>
            </w:r>
          </w:p>
          <w:p w14:paraId="5A1B3442">
            <w:pPr>
              <w:rPr>
                <w:rFonts w:ascii="Arial" w:hAnsi="Arial" w:cs="Arial"/>
              </w:rPr>
            </w:pPr>
            <w:r>
              <w:rPr>
                <w:rFonts w:ascii="Arial" w:hAnsi="Arial" w:cs="Arial"/>
              </w:rPr>
              <w:t>C Epiplan-APOCHROMAT 50x/0.95 DIC</w:t>
            </w:r>
          </w:p>
          <w:p w14:paraId="60B0B2D3">
            <w:pPr>
              <w:rPr>
                <w:rFonts w:ascii="Arial" w:hAnsi="Arial" w:cs="Arial"/>
              </w:rPr>
            </w:pPr>
            <w:r>
              <w:rPr>
                <w:rFonts w:hint="eastAsia" w:ascii="Arial" w:hAnsi="Arial" w:cs="Arial"/>
              </w:rPr>
              <w:t>平场复消色差反射光DIC物镜50x(NA0.95)</w:t>
            </w:r>
          </w:p>
          <w:p w14:paraId="75C9233D">
            <w:pPr>
              <w:rPr>
                <w:rFonts w:ascii="Arial" w:hAnsi="Arial" w:cs="Arial"/>
              </w:rPr>
            </w:pPr>
            <w:r>
              <w:rPr>
                <w:rFonts w:ascii="Arial" w:hAnsi="Arial" w:cs="Arial"/>
              </w:rPr>
              <w:t>EC EPIPLAN 100x/0.85 HD WD=0.87mm</w:t>
            </w:r>
          </w:p>
          <w:p w14:paraId="4059CC27">
            <w:pPr>
              <w:rPr>
                <w:rFonts w:ascii="Arial" w:hAnsi="Arial" w:cs="Arial"/>
              </w:rPr>
            </w:pPr>
            <w:r>
              <w:rPr>
                <w:rFonts w:hint="eastAsia" w:ascii="Arial" w:hAnsi="Arial" w:cs="Arial"/>
              </w:rPr>
              <w:t>增强反差反射光平场明暗场物镜100x(NA0.85)</w:t>
            </w:r>
          </w:p>
          <w:p w14:paraId="4FF9CAB6">
            <w:pPr>
              <w:rPr>
                <w:rFonts w:ascii="Arial" w:hAnsi="Arial" w:cs="Arial"/>
              </w:rPr>
            </w:pPr>
            <w:r>
              <w:rPr>
                <w:rFonts w:hint="eastAsia" w:ascii="Arial" w:hAnsi="Arial" w:cs="Arial"/>
              </w:rPr>
              <w:t>工作站</w:t>
            </w:r>
          </w:p>
          <w:p w14:paraId="3CE27A17">
            <w:pPr>
              <w:rPr>
                <w:rFonts w:ascii="Arial" w:hAnsi="Arial" w:cs="Arial"/>
              </w:rPr>
            </w:pPr>
            <w:r>
              <w:rPr>
                <w:rFonts w:hint="eastAsia" w:ascii="Arial" w:hAnsi="Arial" w:cs="Arial"/>
              </w:rPr>
              <w:t>用于图像采集和显示，共聚焦专用工作站</w:t>
            </w:r>
          </w:p>
          <w:p w14:paraId="57729341">
            <w:pPr>
              <w:rPr>
                <w:rFonts w:ascii="Arial" w:hAnsi="Arial" w:cs="Arial"/>
              </w:rPr>
            </w:pPr>
            <w:r>
              <w:rPr>
                <w:rFonts w:ascii="Arial" w:hAnsi="Arial" w:cs="Arial"/>
              </w:rPr>
              <w:t>Microscopy Workstation Compact HP</w:t>
            </w:r>
          </w:p>
          <w:p w14:paraId="618808B7">
            <w:pPr>
              <w:rPr>
                <w:rFonts w:ascii="Arial" w:hAnsi="Arial" w:cs="Arial"/>
              </w:rPr>
            </w:pPr>
            <w:r>
              <w:rPr>
                <w:rFonts w:hint="eastAsia" w:ascii="Arial" w:hAnsi="Arial" w:cs="Arial"/>
              </w:rPr>
              <w:t>共聚焦显微镜专用工作站</w:t>
            </w:r>
          </w:p>
          <w:p w14:paraId="3AC34818">
            <w:pPr>
              <w:rPr>
                <w:rFonts w:ascii="Arial" w:hAnsi="Arial" w:cs="Arial"/>
              </w:rPr>
            </w:pPr>
            <w:r>
              <w:rPr>
                <w:rFonts w:ascii="Arial" w:hAnsi="Arial" w:cs="Arial"/>
              </w:rPr>
              <w:t>Language pack english US</w:t>
            </w:r>
          </w:p>
          <w:p w14:paraId="70B1A4F8">
            <w:pPr>
              <w:rPr>
                <w:rFonts w:ascii="Arial" w:hAnsi="Arial" w:cs="Arial"/>
              </w:rPr>
            </w:pPr>
            <w:r>
              <w:rPr>
                <w:rFonts w:hint="eastAsia" w:ascii="Arial" w:hAnsi="Arial" w:cs="Arial"/>
              </w:rPr>
              <w:t>英语 语言包</w:t>
            </w:r>
          </w:p>
          <w:p w14:paraId="6A12BFA4">
            <w:pPr>
              <w:rPr>
                <w:rFonts w:ascii="Arial" w:hAnsi="Arial" w:cs="Arial"/>
              </w:rPr>
            </w:pPr>
            <w:r>
              <w:rPr>
                <w:rFonts w:ascii="Arial" w:hAnsi="Arial" w:cs="Arial"/>
              </w:rPr>
              <w:t>Real Time Controller Image Sys</w:t>
            </w:r>
          </w:p>
          <w:p w14:paraId="6C4EF907">
            <w:pPr>
              <w:rPr>
                <w:rFonts w:ascii="Arial" w:hAnsi="Arial" w:cs="Arial"/>
              </w:rPr>
            </w:pPr>
            <w:r>
              <w:rPr>
                <w:rFonts w:hint="eastAsia" w:ascii="Arial" w:hAnsi="Arial" w:cs="Arial"/>
              </w:rPr>
              <w:t>实时信号处理电路板</w:t>
            </w:r>
          </w:p>
          <w:p w14:paraId="2CB46473">
            <w:pPr>
              <w:rPr>
                <w:rFonts w:ascii="Arial" w:hAnsi="Arial" w:cs="Arial"/>
              </w:rPr>
            </w:pPr>
            <w:r>
              <w:rPr>
                <w:rFonts w:ascii="Arial" w:hAnsi="Arial" w:cs="Arial"/>
              </w:rPr>
              <w:t>Graphics Card NVIDIA T1000 8 GB mDP</w:t>
            </w:r>
          </w:p>
          <w:p w14:paraId="1F7E60A1">
            <w:pPr>
              <w:rPr>
                <w:rFonts w:ascii="Arial" w:hAnsi="Arial" w:cs="Arial"/>
              </w:rPr>
            </w:pPr>
            <w:r>
              <w:rPr>
                <w:rFonts w:hint="eastAsia" w:ascii="Arial" w:hAnsi="Arial" w:cs="Arial"/>
              </w:rPr>
              <w:t>8GB显卡</w:t>
            </w:r>
          </w:p>
          <w:p w14:paraId="4E4DB397">
            <w:pPr>
              <w:rPr>
                <w:rFonts w:ascii="Arial" w:hAnsi="Arial" w:cs="Arial"/>
              </w:rPr>
            </w:pPr>
            <w:r>
              <w:rPr>
                <w:rFonts w:ascii="Arial" w:hAnsi="Arial" w:cs="Arial"/>
              </w:rPr>
              <w:t xml:space="preserve">Memory 16 GB (1x16) DDR5-4800 (hpZ2G9) </w:t>
            </w:r>
          </w:p>
          <w:p w14:paraId="15EF7D0D">
            <w:pPr>
              <w:rPr>
                <w:rFonts w:ascii="Arial" w:hAnsi="Arial" w:cs="Arial"/>
              </w:rPr>
            </w:pPr>
            <w:r>
              <w:rPr>
                <w:rFonts w:hint="eastAsia" w:ascii="Arial" w:hAnsi="Arial" w:cs="Arial"/>
              </w:rPr>
              <w:t>16GB内存</w:t>
            </w:r>
          </w:p>
          <w:p w14:paraId="1F9D235B">
            <w:pPr>
              <w:rPr>
                <w:rFonts w:ascii="Arial" w:hAnsi="Arial" w:cs="Arial"/>
              </w:rPr>
            </w:pPr>
            <w:r>
              <w:rPr>
                <w:rFonts w:hint="eastAsia" w:ascii="Arial" w:hAnsi="Arial" w:cs="Arial"/>
              </w:rPr>
              <w:t>Monitor TFT 27吋</w:t>
            </w:r>
          </w:p>
          <w:p w14:paraId="6A622669">
            <w:pPr>
              <w:rPr>
                <w:rFonts w:ascii="Arial" w:hAnsi="Arial" w:cs="Arial"/>
              </w:rPr>
            </w:pPr>
            <w:r>
              <w:rPr>
                <w:rFonts w:hint="eastAsia" w:ascii="Arial" w:hAnsi="Arial" w:cs="Arial"/>
              </w:rPr>
              <w:t>27吋HP 显示器</w:t>
            </w:r>
          </w:p>
          <w:p w14:paraId="52686781">
            <w:pPr>
              <w:rPr>
                <w:rFonts w:ascii="Arial" w:hAnsi="Arial" w:cs="Arial"/>
              </w:rPr>
            </w:pPr>
            <w:r>
              <w:rPr>
                <w:rFonts w:hint="eastAsia" w:ascii="Arial" w:hAnsi="Arial" w:cs="Arial"/>
              </w:rPr>
              <w:t>共聚焦形貌分析软件</w:t>
            </w:r>
          </w:p>
          <w:p w14:paraId="0A57A625">
            <w:pPr>
              <w:rPr>
                <w:rFonts w:ascii="Arial" w:hAnsi="Arial" w:cs="Arial"/>
              </w:rPr>
            </w:pPr>
            <w:r>
              <w:rPr>
                <w:rFonts w:ascii="Arial" w:hAnsi="Arial" w:cs="Arial"/>
              </w:rPr>
              <w:t>SWR ZEN 3.14 system</w:t>
            </w:r>
          </w:p>
          <w:p w14:paraId="5F8D8A98">
            <w:pPr>
              <w:rPr>
                <w:rFonts w:ascii="Arial" w:hAnsi="Arial" w:cs="Arial"/>
              </w:rPr>
            </w:pPr>
            <w:r>
              <w:rPr>
                <w:rFonts w:hint="eastAsia" w:ascii="Arial" w:hAnsi="Arial" w:cs="Arial"/>
              </w:rPr>
              <w:t>采集控制软件</w:t>
            </w:r>
          </w:p>
          <w:p w14:paraId="540AC90D">
            <w:pPr>
              <w:rPr>
                <w:rFonts w:ascii="Arial" w:hAnsi="Arial" w:cs="Arial"/>
              </w:rPr>
            </w:pPr>
            <w:r>
              <w:rPr>
                <w:rFonts w:ascii="Arial" w:hAnsi="Arial" w:cs="Arial"/>
              </w:rPr>
              <w:t>SW ZEN Toolkit Adv Acquisition DLic</w:t>
            </w:r>
          </w:p>
          <w:p w14:paraId="3CCFDDC7">
            <w:pPr>
              <w:rPr>
                <w:rFonts w:ascii="Arial" w:hAnsi="Arial" w:cs="Arial"/>
              </w:rPr>
            </w:pPr>
            <w:r>
              <w:rPr>
                <w:rFonts w:hint="eastAsia" w:ascii="Arial" w:hAnsi="Arial" w:cs="Arial"/>
              </w:rPr>
              <w:t>ZEN 电动图像采集模块</w:t>
            </w:r>
          </w:p>
          <w:p w14:paraId="0D7BDDE8">
            <w:pPr>
              <w:rPr>
                <w:rFonts w:ascii="Arial" w:hAnsi="Arial" w:cs="Arial"/>
              </w:rPr>
            </w:pPr>
            <w:r>
              <w:rPr>
                <w:rFonts w:ascii="Arial" w:hAnsi="Arial" w:cs="Arial"/>
              </w:rPr>
              <w:t>SW ZEN Toolkit 2D DLic</w:t>
            </w:r>
          </w:p>
          <w:p w14:paraId="63FCD31D">
            <w:pPr>
              <w:rPr>
                <w:rFonts w:ascii="Arial" w:hAnsi="Arial" w:cs="Arial"/>
              </w:rPr>
            </w:pPr>
            <w:r>
              <w:rPr>
                <w:rFonts w:hint="eastAsia" w:ascii="Arial" w:hAnsi="Arial" w:cs="Arial"/>
              </w:rPr>
              <w:t>ZEN三维成像模块</w:t>
            </w:r>
          </w:p>
          <w:p w14:paraId="753BE476">
            <w:pPr>
              <w:rPr>
                <w:rFonts w:ascii="Arial" w:hAnsi="Arial" w:cs="Arial"/>
              </w:rPr>
            </w:pPr>
            <w:r>
              <w:rPr>
                <w:rFonts w:ascii="Arial" w:hAnsi="Arial" w:cs="Arial"/>
              </w:rPr>
              <w:t xml:space="preserve">Confomap software </w:t>
            </w:r>
          </w:p>
          <w:p w14:paraId="15B87669">
            <w:pPr>
              <w:rPr>
                <w:rFonts w:ascii="Arial" w:hAnsi="Arial" w:cs="Arial"/>
              </w:rPr>
            </w:pPr>
            <w:r>
              <w:rPr>
                <w:rFonts w:hint="eastAsia" w:ascii="Arial" w:hAnsi="Arial" w:cs="Arial"/>
              </w:rPr>
              <w:t>三维数据处理软件</w:t>
            </w:r>
          </w:p>
          <w:p w14:paraId="60A35137">
            <w:pPr>
              <w:rPr>
                <w:rFonts w:ascii="Arial" w:hAnsi="Arial" w:cs="Arial"/>
              </w:rPr>
            </w:pPr>
            <w:r>
              <w:rPr>
                <w:rFonts w:hint="eastAsia" w:ascii="Arial" w:hAnsi="Arial" w:cs="Arial"/>
              </w:rPr>
              <w:t>观察方式</w:t>
            </w:r>
          </w:p>
          <w:p w14:paraId="746F9839">
            <w:pPr>
              <w:rPr>
                <w:rFonts w:ascii="Arial" w:hAnsi="Arial" w:cs="Arial"/>
              </w:rPr>
            </w:pPr>
            <w:r>
              <w:rPr>
                <w:rFonts w:ascii="Arial" w:hAnsi="Arial" w:cs="Arial"/>
              </w:rPr>
              <w:t>Reflector Module DF ACR P&amp;C</w:t>
            </w:r>
          </w:p>
          <w:p w14:paraId="782FBC76">
            <w:pPr>
              <w:rPr>
                <w:rFonts w:ascii="Arial" w:hAnsi="Arial" w:cs="Arial"/>
              </w:rPr>
            </w:pPr>
            <w:r>
              <w:rPr>
                <w:rFonts w:hint="eastAsia" w:ascii="Arial" w:hAnsi="Arial" w:cs="Arial"/>
              </w:rPr>
              <w:t>反射光暗场模块带自动识别</w:t>
            </w:r>
          </w:p>
          <w:p w14:paraId="5A5E0183">
            <w:pPr>
              <w:rPr>
                <w:rFonts w:ascii="Arial" w:hAnsi="Arial" w:cs="Arial"/>
              </w:rPr>
            </w:pPr>
            <w:r>
              <w:rPr>
                <w:rFonts w:ascii="Arial" w:hAnsi="Arial" w:cs="Arial"/>
              </w:rPr>
              <w:t>Reflector module BF ACR</w:t>
            </w:r>
          </w:p>
          <w:p w14:paraId="636CE829">
            <w:pPr>
              <w:rPr>
                <w:rFonts w:ascii="Arial" w:hAnsi="Arial" w:cs="Arial"/>
              </w:rPr>
            </w:pPr>
            <w:r>
              <w:rPr>
                <w:rFonts w:hint="eastAsia" w:ascii="Arial" w:hAnsi="Arial" w:cs="Arial"/>
              </w:rPr>
              <w:t>反射光明场模块带自动识别</w:t>
            </w:r>
          </w:p>
          <w:p w14:paraId="64136A79">
            <w:pPr>
              <w:rPr>
                <w:rFonts w:ascii="Arial" w:hAnsi="Arial" w:cs="Arial"/>
              </w:rPr>
            </w:pPr>
            <w:r>
              <w:rPr>
                <w:rFonts w:ascii="Arial" w:hAnsi="Arial" w:cs="Arial"/>
              </w:rPr>
              <w:t>Reflector Module C DIC/DIC/TIC ACR P&amp;C</w:t>
            </w:r>
          </w:p>
          <w:p w14:paraId="57E88E47">
            <w:pPr>
              <w:rPr>
                <w:rFonts w:ascii="Arial" w:hAnsi="Arial" w:cs="Arial"/>
              </w:rPr>
            </w:pPr>
            <w:r>
              <w:rPr>
                <w:rFonts w:hint="eastAsia" w:ascii="Arial" w:hAnsi="Arial" w:cs="Arial"/>
              </w:rPr>
              <w:t>反射光C-DIC/DIC/TIC模块，不适合偏振</w:t>
            </w:r>
          </w:p>
          <w:p w14:paraId="0FA73055">
            <w:pPr>
              <w:rPr>
                <w:rFonts w:ascii="Arial" w:hAnsi="Arial" w:cs="Arial"/>
              </w:rPr>
            </w:pPr>
            <w:r>
              <w:rPr>
                <w:rFonts w:ascii="Arial" w:hAnsi="Arial" w:cs="Arial"/>
              </w:rPr>
              <w:t>C-DIC Slider 6x20 f/20x &amp; &lt;ECEPN</w:t>
            </w:r>
          </w:p>
          <w:p w14:paraId="1BF5EDFE">
            <w:pPr>
              <w:rPr>
                <w:rFonts w:ascii="Arial" w:hAnsi="Arial" w:cs="Arial"/>
              </w:rPr>
            </w:pPr>
            <w:r>
              <w:rPr>
                <w:rFonts w:hint="eastAsia" w:ascii="Arial" w:hAnsi="Arial" w:cs="Arial"/>
              </w:rPr>
              <w:t>C-DIC滑尺 6x20 f/20x &amp; &lt; ECEPN</w:t>
            </w:r>
          </w:p>
        </w:tc>
        <w:tc>
          <w:tcPr>
            <w:tcW w:w="491" w:type="pct"/>
            <w:vAlign w:val="center"/>
          </w:tcPr>
          <w:p w14:paraId="44B7FD31">
            <w:pPr>
              <w:jc w:val="center"/>
              <w:rPr>
                <w:rFonts w:ascii="Arial" w:hAnsi="Arial" w:cs="Arial"/>
              </w:rPr>
            </w:pPr>
            <w:r>
              <w:rPr>
                <w:rFonts w:hint="eastAsia" w:ascii="Arial" w:hAnsi="Arial" w:cs="Arial"/>
              </w:rPr>
              <w:t>1</w:t>
            </w:r>
          </w:p>
        </w:tc>
      </w:tr>
    </w:tbl>
    <w:p w14:paraId="0083BA49">
      <w:pPr>
        <w:pStyle w:val="11"/>
        <w:ind w:left="0" w:leftChars="0" w:right="1400"/>
      </w:pPr>
    </w:p>
    <w:p w14:paraId="551A04E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126"/>
    <w:rsid w:val="00113A26"/>
    <w:rsid w:val="0013505D"/>
    <w:rsid w:val="002150F0"/>
    <w:rsid w:val="00257063"/>
    <w:rsid w:val="002949B4"/>
    <w:rsid w:val="002E5BC1"/>
    <w:rsid w:val="00424126"/>
    <w:rsid w:val="00631728"/>
    <w:rsid w:val="0073381A"/>
    <w:rsid w:val="00BC2449"/>
    <w:rsid w:val="00C77275"/>
    <w:rsid w:val="00CB40F6"/>
    <w:rsid w:val="00E97313"/>
    <w:rsid w:val="1B8B0E34"/>
    <w:rsid w:val="1BFF6919"/>
    <w:rsid w:val="296E3259"/>
    <w:rsid w:val="344C5A45"/>
    <w:rsid w:val="4B3973A9"/>
    <w:rsid w:val="55A05B24"/>
    <w:rsid w:val="68AA2ED9"/>
    <w:rsid w:val="702B0EC4"/>
    <w:rsid w:val="7EAA4A0C"/>
    <w:rsid w:val="7EBF4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0"/>
      <w:szCs w:val="20"/>
      <w:lang w:val="en-US" w:eastAsia="zh-CN" w:bidi="ar-SA"/>
      <w14:ligatures w14:val="none"/>
    </w:rPr>
  </w:style>
  <w:style w:type="paragraph" w:styleId="2">
    <w:name w:val="heading 1"/>
    <w:basedOn w:val="1"/>
    <w:next w:val="1"/>
    <w:link w:val="19"/>
    <w:qFormat/>
    <w:uiPriority w:val="9"/>
    <w:pPr>
      <w:keepNext/>
      <w:keepLines/>
      <w:widowControl w:val="0"/>
      <w:spacing w:before="480" w:after="80"/>
      <w:jc w:val="both"/>
      <w:outlineLvl w:val="0"/>
    </w:pPr>
    <w:rPr>
      <w:rFonts w:asciiTheme="majorHAnsi" w:hAnsiTheme="majorHAnsi" w:eastAsiaTheme="majorEastAsia" w:cstheme="majorBidi"/>
      <w:color w:val="104862" w:themeColor="accent1" w:themeShade="BF"/>
      <w:kern w:val="2"/>
      <w:sz w:val="48"/>
      <w:szCs w:val="48"/>
      <w14:ligatures w14:val="standardContextual"/>
    </w:rPr>
  </w:style>
  <w:style w:type="paragraph" w:styleId="3">
    <w:name w:val="heading 2"/>
    <w:basedOn w:val="1"/>
    <w:next w:val="1"/>
    <w:link w:val="20"/>
    <w:semiHidden/>
    <w:unhideWhenUsed/>
    <w:qFormat/>
    <w:uiPriority w:val="9"/>
    <w:pPr>
      <w:keepNext/>
      <w:keepLines/>
      <w:widowControl w:val="0"/>
      <w:spacing w:before="160" w:after="80"/>
      <w:jc w:val="both"/>
      <w:outlineLvl w:val="1"/>
    </w:pPr>
    <w:rPr>
      <w:rFonts w:asciiTheme="majorHAnsi" w:hAnsiTheme="majorHAnsi" w:eastAsiaTheme="majorEastAsia" w:cstheme="majorBidi"/>
      <w:color w:val="104862" w:themeColor="accent1" w:themeShade="BF"/>
      <w:kern w:val="2"/>
      <w:sz w:val="40"/>
      <w:szCs w:val="40"/>
      <w14:ligatures w14:val="standardContextual"/>
    </w:rPr>
  </w:style>
  <w:style w:type="paragraph" w:styleId="4">
    <w:name w:val="heading 3"/>
    <w:basedOn w:val="1"/>
    <w:next w:val="1"/>
    <w:link w:val="21"/>
    <w:semiHidden/>
    <w:unhideWhenUsed/>
    <w:qFormat/>
    <w:uiPriority w:val="9"/>
    <w:pPr>
      <w:keepNext/>
      <w:keepLines/>
      <w:widowControl w:val="0"/>
      <w:spacing w:before="160" w:after="80"/>
      <w:jc w:val="both"/>
      <w:outlineLvl w:val="2"/>
    </w:pPr>
    <w:rPr>
      <w:rFonts w:asciiTheme="majorHAnsi" w:hAnsiTheme="majorHAnsi" w:eastAsiaTheme="majorEastAsia" w:cstheme="majorBidi"/>
      <w:color w:val="104862" w:themeColor="accent1" w:themeShade="BF"/>
      <w:kern w:val="2"/>
      <w:sz w:val="32"/>
      <w:szCs w:val="32"/>
      <w14:ligatures w14:val="standardContextual"/>
    </w:rPr>
  </w:style>
  <w:style w:type="paragraph" w:styleId="5">
    <w:name w:val="heading 4"/>
    <w:basedOn w:val="1"/>
    <w:next w:val="1"/>
    <w:link w:val="22"/>
    <w:semiHidden/>
    <w:unhideWhenUsed/>
    <w:qFormat/>
    <w:uiPriority w:val="9"/>
    <w:pPr>
      <w:keepNext/>
      <w:keepLines/>
      <w:widowControl w:val="0"/>
      <w:spacing w:before="80" w:after="40"/>
      <w:jc w:val="both"/>
      <w:outlineLvl w:val="3"/>
    </w:pPr>
    <w:rPr>
      <w:rFonts w:asciiTheme="minorHAnsi" w:hAnsiTheme="minorHAnsi" w:cstheme="majorBidi"/>
      <w:color w:val="104862" w:themeColor="accent1" w:themeShade="BF"/>
      <w:kern w:val="2"/>
      <w:sz w:val="28"/>
      <w:szCs w:val="28"/>
      <w14:ligatures w14:val="standardContextual"/>
    </w:rPr>
  </w:style>
  <w:style w:type="paragraph" w:styleId="6">
    <w:name w:val="heading 5"/>
    <w:basedOn w:val="1"/>
    <w:next w:val="1"/>
    <w:link w:val="23"/>
    <w:semiHidden/>
    <w:unhideWhenUsed/>
    <w:qFormat/>
    <w:uiPriority w:val="9"/>
    <w:pPr>
      <w:keepNext/>
      <w:keepLines/>
      <w:widowControl w:val="0"/>
      <w:spacing w:before="80" w:after="40"/>
      <w:jc w:val="both"/>
      <w:outlineLvl w:val="4"/>
    </w:pPr>
    <w:rPr>
      <w:rFonts w:asciiTheme="minorHAnsi" w:hAnsiTheme="minorHAnsi" w:cstheme="majorBidi"/>
      <w:color w:val="104862" w:themeColor="accent1" w:themeShade="BF"/>
      <w:kern w:val="2"/>
      <w:sz w:val="24"/>
      <w:szCs w:val="24"/>
      <w14:ligatures w14:val="standardContextual"/>
    </w:rPr>
  </w:style>
  <w:style w:type="paragraph" w:styleId="7">
    <w:name w:val="heading 6"/>
    <w:basedOn w:val="1"/>
    <w:next w:val="1"/>
    <w:link w:val="24"/>
    <w:semiHidden/>
    <w:unhideWhenUsed/>
    <w:qFormat/>
    <w:uiPriority w:val="9"/>
    <w:pPr>
      <w:keepNext/>
      <w:keepLines/>
      <w:widowControl w:val="0"/>
      <w:spacing w:before="40"/>
      <w:jc w:val="both"/>
      <w:outlineLvl w:val="5"/>
    </w:pPr>
    <w:rPr>
      <w:rFonts w:asciiTheme="minorHAnsi" w:hAnsiTheme="minorHAnsi" w:cstheme="majorBidi"/>
      <w:b/>
      <w:bCs/>
      <w:color w:val="104862" w:themeColor="accent1" w:themeShade="BF"/>
      <w:kern w:val="2"/>
      <w:sz w:val="21"/>
      <w:szCs w:val="22"/>
      <w14:ligatures w14:val="standardContextual"/>
    </w:rPr>
  </w:style>
  <w:style w:type="paragraph" w:styleId="8">
    <w:name w:val="heading 7"/>
    <w:basedOn w:val="1"/>
    <w:next w:val="1"/>
    <w:link w:val="25"/>
    <w:semiHidden/>
    <w:unhideWhenUsed/>
    <w:qFormat/>
    <w:uiPriority w:val="9"/>
    <w:pPr>
      <w:keepNext/>
      <w:keepLines/>
      <w:widowControl w:val="0"/>
      <w:spacing w:before="40"/>
      <w:jc w:val="both"/>
      <w:outlineLvl w:val="6"/>
    </w:pPr>
    <w:rPr>
      <w:rFonts w:asciiTheme="minorHAnsi" w:hAnsiTheme="minorHAnsi" w:cstheme="majorBidi"/>
      <w:b/>
      <w:bCs/>
      <w:color w:val="595959" w:themeColor="text1" w:themeTint="A6"/>
      <w:kern w:val="2"/>
      <w:sz w:val="21"/>
      <w:szCs w:val="22"/>
      <w14:textFill>
        <w14:solidFill>
          <w14:schemeClr w14:val="tx1">
            <w14:lumMod w14:val="65000"/>
            <w14:lumOff w14:val="35000"/>
          </w14:schemeClr>
        </w14:solidFill>
      </w14:textFill>
      <w14:ligatures w14:val="standardContextual"/>
    </w:rPr>
  </w:style>
  <w:style w:type="paragraph" w:styleId="9">
    <w:name w:val="heading 8"/>
    <w:basedOn w:val="1"/>
    <w:next w:val="1"/>
    <w:link w:val="26"/>
    <w:semiHidden/>
    <w:unhideWhenUsed/>
    <w:qFormat/>
    <w:uiPriority w:val="9"/>
    <w:pPr>
      <w:keepNext/>
      <w:keepLines/>
      <w:widowControl w:val="0"/>
      <w:jc w:val="both"/>
      <w:outlineLvl w:val="7"/>
    </w:pPr>
    <w:rPr>
      <w:rFonts w:asciiTheme="minorHAnsi" w:hAnsiTheme="minorHAnsi" w:cstheme="majorBidi"/>
      <w:color w:val="595959" w:themeColor="text1" w:themeTint="A6"/>
      <w:kern w:val="2"/>
      <w:sz w:val="21"/>
      <w:szCs w:val="22"/>
      <w14:textFill>
        <w14:solidFill>
          <w14:schemeClr w14:val="tx1">
            <w14:lumMod w14:val="65000"/>
            <w14:lumOff w14:val="35000"/>
          </w14:schemeClr>
        </w14:solidFill>
      </w14:textFill>
      <w14:ligatures w14:val="standardContextual"/>
    </w:rPr>
  </w:style>
  <w:style w:type="paragraph" w:styleId="10">
    <w:name w:val="heading 9"/>
    <w:basedOn w:val="1"/>
    <w:next w:val="1"/>
    <w:link w:val="27"/>
    <w:semiHidden/>
    <w:unhideWhenUsed/>
    <w:qFormat/>
    <w:uiPriority w:val="9"/>
    <w:pPr>
      <w:keepNext/>
      <w:keepLines/>
      <w:widowControl w:val="0"/>
      <w:jc w:val="both"/>
      <w:outlineLvl w:val="8"/>
    </w:pPr>
    <w:rPr>
      <w:rFonts w:asciiTheme="minorHAnsi" w:hAnsiTheme="minorHAnsi" w:eastAsiaTheme="majorEastAsia" w:cstheme="majorBidi"/>
      <w:color w:val="595959" w:themeColor="text1" w:themeTint="A6"/>
      <w:kern w:val="2"/>
      <w:sz w:val="21"/>
      <w:szCs w:val="22"/>
      <w14:textFill>
        <w14:solidFill>
          <w14:schemeClr w14:val="tx1">
            <w14:lumMod w14:val="65000"/>
            <w14:lumOff w14:val="35000"/>
          </w14:schemeClr>
        </w14:solidFill>
      </w14:textFill>
      <w14:ligatures w14:val="standardContextual"/>
    </w:rPr>
  </w:style>
  <w:style w:type="character" w:default="1" w:styleId="18">
    <w:name w:val="Default Paragraph Font"/>
    <w:semiHidden/>
    <w:unhideWhenUsed/>
    <w:qFormat/>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1">
    <w:name w:val="Block Text"/>
    <w:basedOn w:val="1"/>
    <w:qFormat/>
    <w:uiPriority w:val="0"/>
    <w:pPr>
      <w:widowControl w:val="0"/>
      <w:spacing w:after="120"/>
      <w:ind w:left="1440" w:leftChars="700" w:right="1440" w:rightChars="700"/>
      <w:jc w:val="both"/>
    </w:pPr>
    <w:rPr>
      <w:rFonts w:eastAsia="宋体"/>
      <w:kern w:val="2"/>
      <w:sz w:val="21"/>
    </w:rPr>
  </w:style>
  <w:style w:type="paragraph" w:styleId="12">
    <w:name w:val="footer"/>
    <w:basedOn w:val="1"/>
    <w:link w:val="38"/>
    <w:unhideWhenUsed/>
    <w:qFormat/>
    <w:uiPriority w:val="99"/>
    <w:pPr>
      <w:tabs>
        <w:tab w:val="center" w:pos="4153"/>
        <w:tab w:val="right" w:pos="8306"/>
      </w:tabs>
      <w:snapToGrid w:val="0"/>
    </w:pPr>
    <w:rPr>
      <w:sz w:val="18"/>
      <w:szCs w:val="18"/>
    </w:rPr>
  </w:style>
  <w:style w:type="paragraph" w:styleId="13">
    <w:name w:val="header"/>
    <w:basedOn w:val="1"/>
    <w:link w:val="37"/>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9"/>
    <w:qFormat/>
    <w:uiPriority w:val="11"/>
    <w:pPr>
      <w:widowControl w:val="0"/>
      <w:spacing w:after="160"/>
      <w:jc w:val="center"/>
    </w:pPr>
    <w:rPr>
      <w:rFonts w:asciiTheme="majorHAnsi" w:hAnsiTheme="maj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paragraph" w:styleId="15">
    <w:name w:val="Title"/>
    <w:basedOn w:val="1"/>
    <w:next w:val="1"/>
    <w:link w:val="28"/>
    <w:qFormat/>
    <w:uiPriority w:val="10"/>
    <w:pPr>
      <w:widowControl w:val="0"/>
      <w:spacing w:after="80"/>
      <w:contextualSpacing/>
      <w:jc w:val="center"/>
    </w:pPr>
    <w:rPr>
      <w:rFonts w:asciiTheme="majorHAnsi" w:hAnsiTheme="majorHAnsi" w:eastAsiaTheme="majorEastAsia" w:cstheme="majorBidi"/>
      <w:spacing w:val="-10"/>
      <w:kern w:val="28"/>
      <w:sz w:val="56"/>
      <w:szCs w:val="56"/>
      <w14:ligatures w14:val="standardContextual"/>
    </w:rPr>
  </w:style>
  <w:style w:type="table" w:styleId="17">
    <w:name w:val="Table Grid"/>
    <w:uiPriority w:val="59"/>
    <w:rPr>
      <w:rFonts w:ascii="Times New Roman" w:hAnsi="Times New Roman" w:cs="Times New Roman"/>
      <w:kern w:val="0"/>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9">
    <w:name w:val="标题 1 字符"/>
    <w:basedOn w:val="18"/>
    <w:link w:val="2"/>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uiPriority w:val="9"/>
    <w:rPr>
      <w:rFonts w:cstheme="majorBidi"/>
      <w:color w:val="104862" w:themeColor="accent1" w:themeShade="BF"/>
      <w:sz w:val="28"/>
      <w:szCs w:val="28"/>
    </w:rPr>
  </w:style>
  <w:style w:type="character" w:customStyle="1" w:styleId="23">
    <w:name w:val="标题 5 字符"/>
    <w:basedOn w:val="18"/>
    <w:link w:val="6"/>
    <w:semiHidden/>
    <w:uiPriority w:val="9"/>
    <w:rPr>
      <w:rFonts w:cstheme="majorBidi"/>
      <w:color w:val="104862" w:themeColor="accent1" w:themeShade="BF"/>
      <w:sz w:val="24"/>
      <w:szCs w:val="24"/>
    </w:rPr>
  </w:style>
  <w:style w:type="character" w:customStyle="1" w:styleId="24">
    <w:name w:val="标题 6 字符"/>
    <w:basedOn w:val="18"/>
    <w:link w:val="7"/>
    <w:semiHidden/>
    <w:qFormat/>
    <w:uiPriority w:val="9"/>
    <w:rPr>
      <w:rFonts w:cstheme="majorBidi"/>
      <w:b/>
      <w:bCs/>
      <w:color w:val="104862" w:themeColor="accent1" w:themeShade="BF"/>
    </w:rPr>
  </w:style>
  <w:style w:type="character" w:customStyle="1" w:styleId="25">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widowControl w:val="0"/>
      <w:spacing w:before="160" w:after="160"/>
      <w:jc w:val="center"/>
    </w:pPr>
    <w:rPr>
      <w:rFonts w:asciiTheme="minorHAnsi" w:hAnsiTheme="minorHAnsi" w:cstheme="minorBidi"/>
      <w:i/>
      <w:iCs/>
      <w:color w:val="404040" w:themeColor="text1" w:themeTint="BF"/>
      <w:kern w:val="2"/>
      <w:sz w:val="21"/>
      <w:szCs w:val="22"/>
      <w14:textFill>
        <w14:solidFill>
          <w14:schemeClr w14:val="tx1">
            <w14:lumMod w14:val="75000"/>
            <w14:lumOff w14:val="25000"/>
          </w14:schemeClr>
        </w14:solidFill>
      </w14:textFill>
      <w14:ligatures w14:val="standardContextual"/>
    </w:rPr>
  </w:style>
  <w:style w:type="character" w:customStyle="1" w:styleId="31">
    <w:name w:val="引用 字符"/>
    <w:basedOn w:val="18"/>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widowControl w:val="0"/>
      <w:ind w:left="720"/>
      <w:contextualSpacing/>
      <w:jc w:val="both"/>
    </w:pPr>
    <w:rPr>
      <w:rFonts w:asciiTheme="minorHAnsi" w:hAnsiTheme="minorHAnsi" w:cstheme="minorBidi"/>
      <w:kern w:val="2"/>
      <w:sz w:val="21"/>
      <w:szCs w:val="22"/>
      <w14:ligatures w14:val="standardContextual"/>
    </w:rPr>
  </w:style>
  <w:style w:type="character" w:customStyle="1" w:styleId="33">
    <w:name w:val="Intense Emphasis"/>
    <w:basedOn w:val="18"/>
    <w:qFormat/>
    <w:uiPriority w:val="21"/>
    <w:rPr>
      <w:i/>
      <w:iCs/>
      <w:color w:val="104862" w:themeColor="accent1" w:themeShade="BF"/>
    </w:rPr>
  </w:style>
  <w:style w:type="paragraph" w:styleId="34">
    <w:name w:val="Intense Quote"/>
    <w:basedOn w:val="1"/>
    <w:next w:val="1"/>
    <w:link w:val="35"/>
    <w:qFormat/>
    <w:uiPriority w:val="30"/>
    <w:pPr>
      <w:widowControl w:val="0"/>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cstheme="minorBidi"/>
      <w:i/>
      <w:iCs/>
      <w:color w:val="104862" w:themeColor="accent1" w:themeShade="BF"/>
      <w:kern w:val="2"/>
      <w:sz w:val="21"/>
      <w:szCs w:val="22"/>
      <w14:ligatures w14:val="standardContextual"/>
    </w:rPr>
  </w:style>
  <w:style w:type="character" w:customStyle="1" w:styleId="35">
    <w:name w:val="明显引用 字符"/>
    <w:basedOn w:val="18"/>
    <w:link w:val="34"/>
    <w:uiPriority w:val="30"/>
    <w:rPr>
      <w:i/>
      <w:iCs/>
      <w:color w:val="104862" w:themeColor="accent1" w:themeShade="BF"/>
    </w:rPr>
  </w:style>
  <w:style w:type="character" w:customStyle="1" w:styleId="36">
    <w:name w:val="Intense Reference"/>
    <w:basedOn w:val="18"/>
    <w:qFormat/>
    <w:uiPriority w:val="32"/>
    <w:rPr>
      <w:b/>
      <w:bCs/>
      <w:smallCaps/>
      <w:color w:val="104862" w:themeColor="accent1" w:themeShade="BF"/>
      <w:spacing w:val="5"/>
    </w:rPr>
  </w:style>
  <w:style w:type="character" w:customStyle="1" w:styleId="37">
    <w:name w:val="页眉 字符"/>
    <w:basedOn w:val="18"/>
    <w:link w:val="13"/>
    <w:qFormat/>
    <w:uiPriority w:val="99"/>
    <w:rPr>
      <w:rFonts w:ascii="Times New Roman" w:hAnsi="Times New Roman" w:cs="Times New Roman"/>
      <w:kern w:val="0"/>
      <w:sz w:val="18"/>
      <w:szCs w:val="18"/>
      <w14:ligatures w14:val="none"/>
    </w:rPr>
  </w:style>
  <w:style w:type="character" w:customStyle="1" w:styleId="38">
    <w:name w:val="页脚 字符"/>
    <w:basedOn w:val="18"/>
    <w:link w:val="12"/>
    <w:qFormat/>
    <w:uiPriority w:val="99"/>
    <w:rPr>
      <w:rFonts w:ascii="Times New Roman" w:hAnsi="Times New Roman" w:cs="Times New Roman"/>
      <w:kern w:val="0"/>
      <w:sz w:val="18"/>
      <w:szCs w:val="18"/>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2723</Words>
  <Characters>4129</Characters>
  <Lines>44</Lines>
  <Paragraphs>12</Paragraphs>
  <TotalTime>8</TotalTime>
  <ScaleCrop>false</ScaleCrop>
  <LinksUpToDate>false</LinksUpToDate>
  <CharactersWithSpaces>4447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2026-08-05T06:34:00Z</dcterms:created>
  <dc:creator>Ding, Liming</dc:creator>
  <cp:lastModifiedBy>JS</cp:lastModifiedBy>
  <dcterms:modified xsi:type="dcterms:W3CDTF">2026-08-09T05:46:45Z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eyJoZGlkIjoiMTI2ZWY1MGY2MGI3MDYwN2Y1YzU0M2I2Y2I0NjVhMmQiLCJ1c2VySWQiOiI0NDYwNTM1MDEifQ==</vt:lpwstr>
  </property>
  <property fmtid="{D5CDD505-2E9C-101B-9397-08002B2CF9AE}" pid="3" name="KSOProductBuildVer">
    <vt:lpwstr>2052-12.1.0.26895</vt:lpwstr>
  </property>
  <property fmtid="{D5CDD505-2E9C-101B-9397-08002B2CF9AE}" pid="4" name="ICV">
    <vt:lpwstr>82124204AE014B36A67E6EC26BA397F8_13</vt:lpwstr>
  </property>
</Properties>
</file>