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1546B9">
      <w:pPr>
        <w:spacing w:line="360" w:lineRule="auto"/>
        <w:jc w:val="center"/>
        <w:rPr>
          <w:rFonts w:ascii="宋体" w:hAnsi="宋体"/>
          <w:b/>
          <w:color w:val="000000" w:themeColor="text1"/>
          <w:sz w:val="44"/>
          <w:highlight w:val="none"/>
          <w:shd w:val="clear" w:color="auto" w:fill="FFFFFF"/>
          <w14:textFill>
            <w14:solidFill>
              <w14:schemeClr w14:val="tx1"/>
            </w14:solidFill>
          </w14:textFill>
        </w:rPr>
      </w:pPr>
    </w:p>
    <w:p w14:paraId="0E01D184">
      <w:pPr>
        <w:pStyle w:val="17"/>
        <w:spacing w:line="360" w:lineRule="auto"/>
        <w:ind w:firstLine="480"/>
        <w:jc w:val="center"/>
        <w:rPr>
          <w:rFonts w:ascii="宋体" w:hAnsi="宋体"/>
          <w:color w:val="000000" w:themeColor="text1"/>
          <w:highlight w:val="none"/>
          <w14:textFill>
            <w14:solidFill>
              <w14:schemeClr w14:val="tx1"/>
            </w14:solidFill>
          </w14:textFill>
        </w:rPr>
      </w:pPr>
      <w:r>
        <w:rPr>
          <w:rFonts w:hint="eastAsia" w:ascii="宋体" w:hAnsi="宋体" w:cs="宋体"/>
          <w:b/>
          <w:color w:val="000000" w:themeColor="text1"/>
          <w:sz w:val="44"/>
          <w:highlight w:val="none"/>
          <w:shd w:val="clear" w:color="auto" w:fill="FFFFFF"/>
          <w:lang w:eastAsia="zh-CN"/>
          <w14:textFill>
            <w14:solidFill>
              <w14:schemeClr w14:val="tx1"/>
            </w14:solidFill>
          </w14:textFill>
        </w:rPr>
        <w:t>南京邮电大学数学计算仿真软件采购项目</w:t>
      </w:r>
    </w:p>
    <w:p w14:paraId="76CF7769">
      <w:pPr>
        <w:pStyle w:val="17"/>
        <w:spacing w:line="360" w:lineRule="auto"/>
        <w:ind w:firstLine="480"/>
        <w:jc w:val="center"/>
        <w:rPr>
          <w:rFonts w:ascii="宋体" w:hAnsi="宋体"/>
          <w:color w:val="000000" w:themeColor="text1"/>
          <w:highlight w:val="none"/>
          <w14:textFill>
            <w14:solidFill>
              <w14:schemeClr w14:val="tx1"/>
            </w14:solidFill>
          </w14:textFill>
        </w:rPr>
      </w:pPr>
    </w:p>
    <w:p w14:paraId="1024FBC5">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14:paraId="75DB7B85">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14:paraId="001E9E0C">
      <w:pPr>
        <w:spacing w:line="360" w:lineRule="auto"/>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公开比选</w:t>
      </w:r>
      <w:r>
        <w:rPr>
          <w:rFonts w:ascii="宋体" w:hAnsi="宋体" w:cs="宋体"/>
          <w:b/>
          <w:color w:val="000000" w:themeColor="text1"/>
          <w:sz w:val="72"/>
          <w:highlight w:val="none"/>
          <w14:textFill>
            <w14:solidFill>
              <w14:schemeClr w14:val="tx1"/>
            </w14:solidFill>
          </w14:textFill>
        </w:rPr>
        <w:t>文件</w:t>
      </w:r>
    </w:p>
    <w:p w14:paraId="31A1E83C">
      <w:pPr>
        <w:pStyle w:val="259"/>
        <w:ind w:firstLine="0"/>
        <w:jc w:val="center"/>
        <w:rPr>
          <w:rFonts w:hint="default" w:asciiTheme="majorEastAsia" w:hAnsiTheme="majorEastAsia" w:eastAsiaTheme="majorEastAsia"/>
          <w:b/>
          <w:sz w:val="36"/>
          <w:szCs w:val="36"/>
          <w:highlight w:val="none"/>
          <w:lang w:val="en-US" w:eastAsia="zh-CN"/>
        </w:rPr>
      </w:pPr>
      <w:r>
        <w:rPr>
          <w:rFonts w:hint="eastAsia" w:asciiTheme="majorEastAsia" w:hAnsiTheme="majorEastAsia" w:eastAsiaTheme="majorEastAsia"/>
          <w:b/>
          <w:sz w:val="36"/>
          <w:szCs w:val="36"/>
          <w:highlight w:val="none"/>
        </w:rPr>
        <w:t>项目编号</w:t>
      </w:r>
      <w:r>
        <w:rPr>
          <w:rFonts w:ascii="宋体" w:hAnsi="宋体" w:cs="宋体"/>
          <w:b/>
          <w:color w:val="000000" w:themeColor="text1"/>
          <w:sz w:val="28"/>
          <w:highlight w:val="none"/>
          <w14:textFill>
            <w14:solidFill>
              <w14:schemeClr w14:val="tx1"/>
            </w14:solidFill>
          </w14:textFill>
        </w:rPr>
        <w:t>：</w:t>
      </w:r>
      <w:r>
        <w:rPr>
          <w:rFonts w:hint="eastAsia" w:asciiTheme="majorEastAsia" w:hAnsiTheme="majorEastAsia" w:eastAsiaTheme="majorEastAsia"/>
          <w:b/>
          <w:sz w:val="36"/>
          <w:szCs w:val="36"/>
          <w:highlight w:val="none"/>
          <w:lang w:eastAsia="zh-CN"/>
        </w:rPr>
        <w:t>NYCG2026-H041</w:t>
      </w:r>
      <w:r>
        <w:rPr>
          <w:rFonts w:hint="eastAsia" w:asciiTheme="majorEastAsia" w:hAnsiTheme="majorEastAsia" w:eastAsiaTheme="majorEastAsia"/>
          <w:b/>
          <w:sz w:val="36"/>
          <w:szCs w:val="36"/>
          <w:highlight w:val="none"/>
        </w:rPr>
        <w:t>/</w:t>
      </w:r>
      <w:r>
        <w:rPr>
          <w:rFonts w:hint="eastAsia" w:asciiTheme="majorEastAsia" w:hAnsiTheme="majorEastAsia" w:eastAsiaTheme="majorEastAsia"/>
          <w:b/>
          <w:sz w:val="36"/>
          <w:szCs w:val="36"/>
          <w:highlight w:val="none"/>
          <w:lang w:val="en-US" w:eastAsia="zh-CN"/>
        </w:rPr>
        <w:t>GPDI-NJ-2026-04687</w:t>
      </w:r>
    </w:p>
    <w:p w14:paraId="2B571047">
      <w:pPr>
        <w:spacing w:line="360" w:lineRule="auto"/>
        <w:jc w:val="center"/>
        <w:rPr>
          <w:rFonts w:ascii="宋体" w:hAnsi="宋体" w:cs="宋体"/>
          <w:b/>
          <w:color w:val="000000" w:themeColor="text1"/>
          <w:sz w:val="36"/>
          <w:highlight w:val="none"/>
          <w14:textFill>
            <w14:solidFill>
              <w14:schemeClr w14:val="tx1"/>
            </w14:solidFill>
          </w14:textFill>
        </w:rPr>
      </w:pPr>
    </w:p>
    <w:p w14:paraId="46184AC9">
      <w:pPr>
        <w:spacing w:line="360" w:lineRule="auto"/>
        <w:jc w:val="center"/>
        <w:rPr>
          <w:rFonts w:ascii="宋体" w:hAnsi="宋体" w:cs="宋体"/>
          <w:b/>
          <w:color w:val="000000" w:themeColor="text1"/>
          <w:sz w:val="36"/>
          <w:highlight w:val="none"/>
          <w14:textFill>
            <w14:solidFill>
              <w14:schemeClr w14:val="tx1"/>
            </w14:solidFill>
          </w14:textFill>
        </w:rPr>
      </w:pPr>
    </w:p>
    <w:p w14:paraId="2CF9D670">
      <w:pPr>
        <w:spacing w:line="360" w:lineRule="auto"/>
        <w:jc w:val="center"/>
        <w:rPr>
          <w:rFonts w:ascii="宋体" w:hAnsi="宋体" w:cs="宋体"/>
          <w:b/>
          <w:color w:val="000000" w:themeColor="text1"/>
          <w:sz w:val="36"/>
          <w:highlight w:val="none"/>
          <w14:textFill>
            <w14:solidFill>
              <w14:schemeClr w14:val="tx1"/>
            </w14:solidFill>
          </w14:textFill>
        </w:rPr>
      </w:pPr>
    </w:p>
    <w:p w14:paraId="07A4633A">
      <w:pPr>
        <w:pStyle w:val="17"/>
        <w:spacing w:line="360" w:lineRule="auto"/>
        <w:ind w:firstLine="480"/>
        <w:jc w:val="center"/>
        <w:rPr>
          <w:rFonts w:ascii="宋体" w:hAnsi="宋体"/>
          <w:color w:val="000000" w:themeColor="text1"/>
          <w:highlight w:val="none"/>
          <w14:textFill>
            <w14:solidFill>
              <w14:schemeClr w14:val="tx1"/>
            </w14:solidFill>
          </w14:textFill>
        </w:rPr>
      </w:pPr>
    </w:p>
    <w:p w14:paraId="487F680F">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采购人：</w:t>
      </w:r>
      <w:r>
        <w:rPr>
          <w:rFonts w:hint="eastAsia" w:ascii="宋体" w:hAnsi="宋体"/>
          <w:b/>
          <w:color w:val="000000" w:themeColor="text1"/>
          <w:sz w:val="36"/>
          <w:szCs w:val="36"/>
          <w:highlight w:val="none"/>
          <w14:textFill>
            <w14:solidFill>
              <w14:schemeClr w14:val="tx1"/>
            </w14:solidFill>
          </w14:textFill>
        </w:rPr>
        <w:t>南京邮电大学</w:t>
      </w:r>
    </w:p>
    <w:p w14:paraId="5AC7E5EF">
      <w:pPr>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采购</w:t>
      </w:r>
      <w:r>
        <w:rPr>
          <w:rFonts w:ascii="宋体" w:hAnsi="宋体" w:cs="宋体"/>
          <w:b/>
          <w:color w:val="000000" w:themeColor="text1"/>
          <w:sz w:val="36"/>
          <w:highlight w:val="none"/>
          <w14:textFill>
            <w14:solidFill>
              <w14:schemeClr w14:val="tx1"/>
            </w14:solidFill>
          </w14:textFill>
        </w:rPr>
        <w:t>代理机构：</w:t>
      </w:r>
      <w:r>
        <w:rPr>
          <w:rFonts w:hint="eastAsia" w:ascii="宋体" w:hAnsi="宋体" w:cs="宋体"/>
          <w:b/>
          <w:color w:val="000000" w:themeColor="text1"/>
          <w:sz w:val="36"/>
          <w:highlight w:val="none"/>
          <w14:textFill>
            <w14:solidFill>
              <w14:schemeClr w14:val="tx1"/>
            </w14:solidFill>
          </w14:textFill>
        </w:rPr>
        <w:t>广东省电信规划设计院有限公司</w:t>
      </w:r>
      <w:r>
        <w:rPr>
          <w:rFonts w:ascii="宋体" w:hAnsi="宋体" w:cs="宋体"/>
          <w:b/>
          <w:color w:val="000000" w:themeColor="text1"/>
          <w:sz w:val="36"/>
          <w:highlight w:val="none"/>
          <w14:textFill>
            <w14:solidFill>
              <w14:schemeClr w14:val="tx1"/>
            </w14:solidFill>
          </w14:textFill>
        </w:rPr>
        <w:t xml:space="preserve"> </w:t>
      </w:r>
    </w:p>
    <w:p w14:paraId="41CCDD89">
      <w:pPr>
        <w:spacing w:line="360" w:lineRule="auto"/>
        <w:jc w:val="left"/>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日期：</w:t>
      </w:r>
      <w:r>
        <w:rPr>
          <w:rFonts w:hint="eastAsia" w:ascii="宋体" w:hAnsi="宋体" w:cs="宋体"/>
          <w:b/>
          <w:color w:val="000000" w:themeColor="text1"/>
          <w:sz w:val="36"/>
          <w:highlight w:val="none"/>
          <w14:textFill>
            <w14:solidFill>
              <w14:schemeClr w14:val="tx1"/>
            </w14:solidFill>
          </w14:textFill>
        </w:rPr>
        <w:t>二〇二六年</w:t>
      </w:r>
      <w:r>
        <w:rPr>
          <w:rFonts w:hint="eastAsia" w:ascii="宋体" w:hAnsi="宋体" w:cs="宋体"/>
          <w:b/>
          <w:color w:val="000000" w:themeColor="text1"/>
          <w:sz w:val="36"/>
          <w:highlight w:val="none"/>
          <w:lang w:val="en-US" w:eastAsia="zh-CN"/>
          <w14:textFill>
            <w14:solidFill>
              <w14:schemeClr w14:val="tx1"/>
            </w14:solidFill>
          </w14:textFill>
        </w:rPr>
        <w:t>八</w:t>
      </w:r>
      <w:r>
        <w:rPr>
          <w:rFonts w:hint="eastAsia" w:ascii="宋体" w:hAnsi="宋体" w:cs="宋体"/>
          <w:b/>
          <w:color w:val="000000" w:themeColor="text1"/>
          <w:sz w:val="36"/>
          <w:highlight w:val="none"/>
          <w14:textFill>
            <w14:solidFill>
              <w14:schemeClr w14:val="tx1"/>
            </w14:solidFill>
          </w14:textFill>
        </w:rPr>
        <w:t>月</w:t>
      </w:r>
    </w:p>
    <w:p w14:paraId="7F0770AC">
      <w:pPr>
        <w:spacing w:line="360" w:lineRule="auto"/>
        <w:jc w:val="center"/>
        <w:outlineLvl w:val="0"/>
        <w:rPr>
          <w:rFonts w:ascii="宋体" w:hAnsi="宋体" w:cs="宋体"/>
          <w:b/>
          <w:color w:val="000000" w:themeColor="text1"/>
          <w:sz w:val="36"/>
          <w:highlight w:val="none"/>
          <w14:textFill>
            <w14:solidFill>
              <w14:schemeClr w14:val="tx1"/>
            </w14:solidFill>
          </w14:textFill>
        </w:rPr>
        <w:sectPr>
          <w:headerReference r:id="rId3" w:type="default"/>
          <w:pgSz w:w="11906" w:h="16838"/>
          <w:pgMar w:top="1134" w:right="1134" w:bottom="1134" w:left="1304" w:header="567" w:footer="907" w:gutter="0"/>
          <w:cols w:space="720" w:num="1"/>
          <w:docGrid w:linePitch="360" w:charSpace="0"/>
        </w:sectPr>
      </w:pPr>
    </w:p>
    <w:p w14:paraId="6B5BB732">
      <w:pPr>
        <w:spacing w:line="360" w:lineRule="auto"/>
        <w:jc w:val="center"/>
        <w:outlineLvl w:val="0"/>
        <w:rPr>
          <w:rFonts w:ascii="宋体" w:hAnsi="宋体" w:cs="黑体"/>
          <w:b/>
          <w:color w:val="000000" w:themeColor="text1"/>
          <w:sz w:val="36"/>
          <w:highlight w:val="none"/>
          <w14:textFill>
            <w14:solidFill>
              <w14:schemeClr w14:val="tx1"/>
            </w14:solidFill>
          </w14:textFill>
        </w:rPr>
      </w:pPr>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 xml:space="preserve"> 公开比选公告</w:t>
      </w:r>
    </w:p>
    <w:p w14:paraId="388FDE9E">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14:paraId="025C2B25">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asciiTheme="majorEastAsia" w:hAnsiTheme="majorEastAsia" w:eastAsiaTheme="majorEastAsia"/>
          <w:szCs w:val="24"/>
          <w:highlight w:val="none"/>
          <w:lang w:eastAsia="zh-CN"/>
        </w:rPr>
        <w:t>NYCG2026-H041</w:t>
      </w:r>
      <w:r>
        <w:rPr>
          <w:rFonts w:hint="eastAsia" w:asciiTheme="majorEastAsia" w:hAnsiTheme="majorEastAsia" w:eastAsiaTheme="majorEastAsia"/>
          <w:szCs w:val="24"/>
          <w:highlight w:val="none"/>
        </w:rPr>
        <w:t>/GPDI-NJ-2026-</w:t>
      </w:r>
      <w:r>
        <w:rPr>
          <w:rFonts w:hint="eastAsia" w:asciiTheme="majorEastAsia" w:hAnsiTheme="majorEastAsia" w:eastAsiaTheme="majorEastAsia"/>
          <w:szCs w:val="24"/>
          <w:highlight w:val="none"/>
          <w:lang w:val="en-US" w:eastAsia="zh-CN"/>
        </w:rPr>
        <w:t>04687</w:t>
      </w:r>
      <w:r>
        <w:rPr>
          <w:color w:val="000000" w:themeColor="text1"/>
          <w:highlight w:val="none"/>
          <w14:textFill>
            <w14:solidFill>
              <w14:schemeClr w14:val="tx1"/>
            </w14:solidFill>
          </w14:textFill>
        </w:rPr>
        <w:t>；</w:t>
      </w:r>
    </w:p>
    <w:p w14:paraId="24EFD275">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color w:val="000000" w:themeColor="text1"/>
          <w:highlight w:val="none"/>
          <w:lang w:eastAsia="zh-CN"/>
          <w14:textFill>
            <w14:solidFill>
              <w14:schemeClr w14:val="tx1"/>
            </w14:solidFill>
          </w14:textFill>
        </w:rPr>
        <w:t>南京邮电大学数学计算仿真软件采购项目</w:t>
      </w:r>
      <w:r>
        <w:rPr>
          <w:color w:val="000000" w:themeColor="text1"/>
          <w:highlight w:val="none"/>
          <w14:textFill>
            <w14:solidFill>
              <w14:schemeClr w14:val="tx1"/>
            </w14:solidFill>
          </w14:textFill>
        </w:rPr>
        <w:t>；</w:t>
      </w:r>
    </w:p>
    <w:p w14:paraId="1F6985D6">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预算金额：</w:t>
      </w:r>
      <w:r>
        <w:rPr>
          <w:rFonts w:hint="eastAsia"/>
          <w:color w:val="000000" w:themeColor="text1"/>
          <w:highlight w:val="none"/>
          <w:lang w:val="en-US" w:eastAsia="zh-CN"/>
          <w14:textFill>
            <w14:solidFill>
              <w14:schemeClr w14:val="tx1"/>
            </w14:solidFill>
          </w14:textFill>
        </w:rPr>
        <w:t>53.6</w:t>
      </w:r>
      <w:r>
        <w:rPr>
          <w:color w:val="000000" w:themeColor="text1"/>
          <w:highlight w:val="none"/>
          <w14:textFill>
            <w14:solidFill>
              <w14:schemeClr w14:val="tx1"/>
            </w14:solidFill>
          </w14:textFill>
        </w:rPr>
        <w:t>万元；</w:t>
      </w:r>
    </w:p>
    <w:p w14:paraId="2E40171E">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最高限价：</w:t>
      </w:r>
      <w:r>
        <w:rPr>
          <w:rFonts w:hint="eastAsia"/>
          <w:color w:val="000000" w:themeColor="text1"/>
          <w:highlight w:val="none"/>
          <w:lang w:val="en-US" w:eastAsia="zh-CN"/>
          <w14:textFill>
            <w14:solidFill>
              <w14:schemeClr w14:val="tx1"/>
            </w14:solidFill>
          </w14:textFill>
        </w:rPr>
        <w:t>53.6</w:t>
      </w:r>
      <w:r>
        <w:rPr>
          <w:color w:val="000000" w:themeColor="text1"/>
          <w:highlight w:val="none"/>
          <w14:textFill>
            <w14:solidFill>
              <w14:schemeClr w14:val="tx1"/>
            </w14:solidFill>
          </w14:textFill>
        </w:rPr>
        <w:t>万元</w:t>
      </w:r>
      <w:r>
        <w:rPr>
          <w:rFonts w:hint="eastAsia"/>
          <w:color w:val="000000" w:themeColor="text1"/>
          <w:highlight w:val="none"/>
          <w14:textFill>
            <w14:solidFill>
              <w14:schemeClr w14:val="tx1"/>
            </w14:solidFill>
          </w14:textFill>
        </w:rPr>
        <w:t>，响应报价超过单价最高限价的，响应文件作无效处理。</w:t>
      </w:r>
    </w:p>
    <w:p w14:paraId="6BC3B276">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采购方式：公开</w:t>
      </w:r>
      <w:r>
        <w:rPr>
          <w:rFonts w:hint="eastAsia"/>
          <w:color w:val="000000" w:themeColor="text1"/>
          <w:highlight w:val="none"/>
          <w14:textFill>
            <w14:solidFill>
              <w14:schemeClr w14:val="tx1"/>
            </w14:solidFill>
          </w14:textFill>
        </w:rPr>
        <w:t>比选</w:t>
      </w:r>
      <w:r>
        <w:rPr>
          <w:color w:val="000000" w:themeColor="text1"/>
          <w:highlight w:val="none"/>
          <w14:textFill>
            <w14:solidFill>
              <w14:schemeClr w14:val="tx1"/>
            </w14:solidFill>
          </w14:textFill>
        </w:rPr>
        <w:t>；</w:t>
      </w:r>
    </w:p>
    <w:p w14:paraId="4DA24D88">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采购需求：</w:t>
      </w:r>
      <w:r>
        <w:rPr>
          <w:rFonts w:hint="eastAsia" w:asciiTheme="majorEastAsia" w:hAnsiTheme="majorEastAsia" w:eastAsiaTheme="majorEastAsia"/>
          <w:strike w:val="0"/>
          <w:szCs w:val="24"/>
          <w:highlight w:val="none"/>
          <w:lang w:val="en-US" w:eastAsia="zh-CN"/>
        </w:rPr>
        <w:t>南京邮电大学采购一套</w:t>
      </w:r>
      <w:r>
        <w:rPr>
          <w:rFonts w:hint="eastAsia" w:asciiTheme="majorEastAsia" w:hAnsiTheme="majorEastAsia" w:eastAsiaTheme="majorEastAsia"/>
          <w:strike w:val="0"/>
          <w:szCs w:val="24"/>
          <w:highlight w:val="none"/>
          <w:lang w:eastAsia="zh-CN"/>
        </w:rPr>
        <w:t>数学计算仿真软件，</w:t>
      </w:r>
      <w:r>
        <w:rPr>
          <w:color w:val="000000" w:themeColor="text1"/>
          <w:highlight w:val="none"/>
          <w14:textFill>
            <w14:solidFill>
              <w14:schemeClr w14:val="tx1"/>
            </w14:solidFill>
          </w14:textFill>
        </w:rPr>
        <w:t>具体详见采购文件。</w:t>
      </w:r>
    </w:p>
    <w:p w14:paraId="69490AD7">
      <w:pPr>
        <w:pStyle w:val="17"/>
        <w:numPr>
          <w:ilvl w:val="0"/>
          <w:numId w:val="3"/>
        </w:numPr>
        <w:spacing w:line="360" w:lineRule="auto"/>
        <w:ind w:left="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合同履行期限：</w:t>
      </w:r>
      <w:r>
        <w:rPr>
          <w:rFonts w:hint="default" w:ascii="Times New Roman" w:hAnsi="Times New Roman" w:eastAsia="宋体" w:cs="Times New Roman"/>
          <w:color w:val="000000" w:themeColor="text1"/>
          <w:sz w:val="24"/>
          <w:szCs w:val="22"/>
          <w:highlight w:val="none"/>
          <w14:textFill>
            <w14:solidFill>
              <w14:schemeClr w14:val="tx1"/>
            </w14:solidFill>
          </w14:textFill>
        </w:rPr>
        <w:t>合同签订后</w:t>
      </w:r>
      <w:r>
        <w:rPr>
          <w:rFonts w:ascii="Times New Roman" w:hAnsi="Times New Roman" w:eastAsia="宋体" w:cs="Times New Roman"/>
          <w:color w:val="000000" w:themeColor="text1"/>
          <w:sz w:val="24"/>
          <w:szCs w:val="22"/>
          <w:highlight w:val="none"/>
          <w14:textFill>
            <w14:solidFill>
              <w14:schemeClr w14:val="tx1"/>
            </w14:solidFill>
          </w14:textFill>
        </w:rPr>
        <w:t>2</w:t>
      </w:r>
      <w:r>
        <w:rPr>
          <w:rFonts w:hint="default" w:ascii="Times New Roman" w:hAnsi="Times New Roman" w:eastAsia="宋体" w:cs="Times New Roman"/>
          <w:color w:val="000000" w:themeColor="text1"/>
          <w:sz w:val="24"/>
          <w:szCs w:val="22"/>
          <w:highlight w:val="none"/>
          <w14:textFill>
            <w14:solidFill>
              <w14:schemeClr w14:val="tx1"/>
            </w14:solidFill>
          </w14:textFill>
        </w:rPr>
        <w:t>周内。</w:t>
      </w:r>
    </w:p>
    <w:p w14:paraId="1E23F2B8">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本项目是否接受联合体响应：不接受。</w:t>
      </w:r>
    </w:p>
    <w:p w14:paraId="6423339D">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本项目是否接受进口产品响应：不接受。</w:t>
      </w:r>
    </w:p>
    <w:p w14:paraId="358005C6">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14:paraId="0B6A3A73">
      <w:pPr>
        <w:pStyle w:val="17"/>
        <w:numPr>
          <w:ilvl w:val="0"/>
          <w:numId w:val="4"/>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满足《中华人民共和国政府采购法》第二十二条规定：</w:t>
      </w:r>
    </w:p>
    <w:p w14:paraId="05510621">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1064C3E2">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w:t>
      </w:r>
      <w:r>
        <w:rPr>
          <w:rFonts w:hint="eastAsia"/>
          <w:color w:val="000000" w:themeColor="text1"/>
          <w:highlight w:val="none"/>
          <w14:textFill>
            <w14:solidFill>
              <w14:schemeClr w14:val="tx1"/>
            </w14:solidFill>
          </w14:textFill>
        </w:rPr>
        <w:t>2025年度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w:t>
      </w:r>
      <w:r>
        <w:rPr>
          <w:rFonts w:hint="eastAsia"/>
          <w:color w:val="000000" w:themeColor="text1"/>
          <w:szCs w:val="24"/>
          <w:highlight w:val="none"/>
          <w:lang w:val="en-US" w:eastAsia="zh-CN"/>
          <w14:textFill>
            <w14:solidFill>
              <w14:schemeClr w14:val="tx1"/>
            </w14:solidFill>
          </w14:textFill>
        </w:rPr>
        <w:t>6</w:t>
      </w:r>
      <w:r>
        <w:rPr>
          <w:rFonts w:hint="eastAsia"/>
          <w:color w:val="000000" w:themeColor="text1"/>
          <w:szCs w:val="24"/>
          <w:highlight w:val="none"/>
          <w14:textFill>
            <w14:solidFill>
              <w14:schemeClr w14:val="tx1"/>
            </w14:solidFill>
          </w14:textFill>
        </w:rPr>
        <w:t>年</w:t>
      </w:r>
      <w:r>
        <w:rPr>
          <w:rFonts w:hint="eastAsia"/>
          <w:color w:val="000000" w:themeColor="text1"/>
          <w:szCs w:val="24"/>
          <w:highlight w:val="none"/>
          <w:lang w:val="en-US" w:eastAsia="zh-CN"/>
          <w14:textFill>
            <w14:solidFill>
              <w14:schemeClr w14:val="tx1"/>
            </w14:solidFill>
          </w14:textFill>
        </w:rPr>
        <w:t>2</w:t>
      </w:r>
      <w:r>
        <w:rPr>
          <w:rFonts w:hint="eastAsia"/>
          <w:color w:val="000000" w:themeColor="text1"/>
          <w:szCs w:val="24"/>
          <w:highlight w:val="none"/>
          <w14:textFill>
            <w14:solidFill>
              <w14:schemeClr w14:val="tx1"/>
            </w14:solidFill>
          </w14:textFill>
        </w:rPr>
        <w:t>月至2026年</w:t>
      </w:r>
      <w:r>
        <w:rPr>
          <w:rFonts w:hint="eastAsia"/>
          <w:color w:val="000000" w:themeColor="text1"/>
          <w:szCs w:val="24"/>
          <w:highlight w:val="none"/>
          <w:lang w:val="en-US" w:eastAsia="zh-CN"/>
          <w14:textFill>
            <w14:solidFill>
              <w14:schemeClr w14:val="tx1"/>
            </w14:solidFill>
          </w14:textFill>
        </w:rPr>
        <w:t>7</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04BB68CE">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24B0670D">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w:t>
      </w:r>
      <w:r>
        <w:rPr>
          <w:rFonts w:hint="eastAsia"/>
          <w:color w:val="000000" w:themeColor="text1"/>
          <w:szCs w:val="24"/>
          <w:highlight w:val="none"/>
          <w:lang w:val="en-US" w:eastAsia="zh-CN"/>
          <w14:textFill>
            <w14:solidFill>
              <w14:schemeClr w14:val="tx1"/>
            </w14:solidFill>
          </w14:textFill>
        </w:rPr>
        <w:t>6</w:t>
      </w:r>
      <w:r>
        <w:rPr>
          <w:rFonts w:hint="eastAsia"/>
          <w:color w:val="000000" w:themeColor="text1"/>
          <w:szCs w:val="24"/>
          <w:highlight w:val="none"/>
          <w14:textFill>
            <w14:solidFill>
              <w14:schemeClr w14:val="tx1"/>
            </w14:solidFill>
          </w14:textFill>
        </w:rPr>
        <w:t>年</w:t>
      </w:r>
      <w:r>
        <w:rPr>
          <w:rFonts w:hint="eastAsia"/>
          <w:color w:val="000000" w:themeColor="text1"/>
          <w:szCs w:val="24"/>
          <w:highlight w:val="none"/>
          <w:lang w:val="en-US" w:eastAsia="zh-CN"/>
          <w14:textFill>
            <w14:solidFill>
              <w14:schemeClr w14:val="tx1"/>
            </w14:solidFill>
          </w14:textFill>
        </w:rPr>
        <w:t>2</w:t>
      </w:r>
      <w:r>
        <w:rPr>
          <w:rFonts w:hint="eastAsia"/>
          <w:color w:val="000000" w:themeColor="text1"/>
          <w:szCs w:val="24"/>
          <w:highlight w:val="none"/>
          <w14:textFill>
            <w14:solidFill>
              <w14:schemeClr w14:val="tx1"/>
            </w14:solidFill>
          </w14:textFill>
        </w:rPr>
        <w:t>月至2026年</w:t>
      </w:r>
      <w:r>
        <w:rPr>
          <w:rFonts w:hint="eastAsia"/>
          <w:color w:val="000000" w:themeColor="text1"/>
          <w:szCs w:val="24"/>
          <w:highlight w:val="none"/>
          <w:lang w:val="en-US" w:eastAsia="zh-CN"/>
          <w14:textFill>
            <w14:solidFill>
              <w14:schemeClr w14:val="tx1"/>
            </w14:solidFill>
          </w14:textFill>
        </w:rPr>
        <w:t>7</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1E6E2AC0">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036AD71A">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34CAC1A2">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无。</w:t>
      </w:r>
    </w:p>
    <w:p w14:paraId="61733EBD">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14:paraId="1D3ABF2A">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71C47450">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18AF1AE6">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w:t>
      </w:r>
      <w:r>
        <w:rPr>
          <w:rFonts w:hint="eastAsia"/>
          <w:color w:val="000000" w:themeColor="text1"/>
          <w:highlight w:val="none"/>
          <w14:textFill>
            <w14:solidFill>
              <w14:schemeClr w14:val="tx1"/>
            </w14:solidFill>
          </w14:textFill>
        </w:rPr>
        <w:t>政府采购</w:t>
      </w:r>
      <w:r>
        <w:rPr>
          <w:rFonts w:hint="eastAsia"/>
          <w:color w:val="000000" w:themeColor="text1"/>
          <w:highlight w:val="none"/>
          <w:lang w:eastAsia="zh-CN"/>
          <w14:textFill>
            <w14:solidFill>
              <w14:schemeClr w14:val="tx1"/>
            </w14:solidFill>
          </w14:textFill>
        </w:rPr>
        <w:t>政府采购严重违法失信行为记录名单</w:t>
      </w:r>
      <w:r>
        <w:rPr>
          <w:color w:val="000000" w:themeColor="text1"/>
          <w:highlight w:val="none"/>
          <w14:textFill>
            <w14:solidFill>
              <w14:schemeClr w14:val="tx1"/>
            </w14:solidFill>
          </w14:textFill>
        </w:rPr>
        <w:t>。</w:t>
      </w:r>
    </w:p>
    <w:p w14:paraId="10A7AA85">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14:paraId="0B45764E">
      <w:pPr>
        <w:pStyle w:val="17"/>
        <w:numPr>
          <w:ilvl w:val="0"/>
          <w:numId w:val="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8</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4</w:t>
      </w:r>
      <w:r>
        <w:rPr>
          <w:color w:val="000000" w:themeColor="text1"/>
          <w:highlight w:val="none"/>
          <w14:textFill>
            <w14:solidFill>
              <w14:schemeClr w14:val="tx1"/>
            </w14:solidFill>
          </w14:textFill>
        </w:rPr>
        <w:t>日上午09:00至202</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8</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10</w:t>
      </w:r>
      <w:r>
        <w:rPr>
          <w:color w:val="000000" w:themeColor="text1"/>
          <w:highlight w:val="none"/>
          <w14:textFill>
            <w14:solidFill>
              <w14:schemeClr w14:val="tx1"/>
            </w14:solidFill>
          </w14:textFill>
        </w:rPr>
        <w:t>日17:00（北京时间）</w:t>
      </w:r>
    </w:p>
    <w:p w14:paraId="02D8347A">
      <w:pPr>
        <w:pStyle w:val="17"/>
        <w:numPr>
          <w:ilvl w:val="0"/>
          <w:numId w:val="6"/>
        </w:numPr>
        <w:spacing w:line="360" w:lineRule="auto"/>
        <w:ind w:firstLineChars="0"/>
        <w:rPr>
          <w:rFonts w:asciiTheme="majorEastAsia" w:hAnsiTheme="majorEastAsia" w:eastAsiaTheme="majorEastAsia"/>
          <w:szCs w:val="24"/>
          <w:highlight w:val="none"/>
        </w:rPr>
      </w:pPr>
      <w:r>
        <w:rPr>
          <w:color w:val="000000" w:themeColor="text1"/>
          <w:highlight w:val="none"/>
          <w14:textFill>
            <w14:solidFill>
              <w14:schemeClr w14:val="tx1"/>
            </w14:solidFill>
          </w14:textFill>
        </w:rPr>
        <w:t xml:space="preserve">获取方式： </w:t>
      </w:r>
      <w:r>
        <w:rPr>
          <w:rFonts w:asciiTheme="majorEastAsia" w:hAnsiTheme="majorEastAsia" w:eastAsiaTheme="majorEastAsia"/>
          <w:szCs w:val="24"/>
          <w:highlight w:val="none"/>
        </w:rPr>
        <w:t>通过“</w:t>
      </w:r>
      <w:r>
        <w:rPr>
          <w:rFonts w:hint="eastAsia" w:asciiTheme="majorEastAsia" w:hAnsiTheme="majorEastAsia" w:eastAsiaTheme="majorEastAsia"/>
          <w:szCs w:val="24"/>
          <w:highlight w:val="none"/>
        </w:rPr>
        <w:t>采购</w:t>
      </w:r>
      <w:r>
        <w:rPr>
          <w:rFonts w:asciiTheme="majorEastAsia" w:hAnsiTheme="majorEastAsia" w:eastAsiaTheme="majorEastAsia"/>
          <w:szCs w:val="24"/>
          <w:highlight w:val="none"/>
        </w:rPr>
        <w:t>代理机构”的电子平台获取</w:t>
      </w:r>
      <w:r>
        <w:rPr>
          <w:rFonts w:hint="eastAsia" w:asciiTheme="majorEastAsia" w:hAnsiTheme="majorEastAsia" w:eastAsiaTheme="majorEastAsia"/>
          <w:szCs w:val="24"/>
          <w:highlight w:val="none"/>
        </w:rPr>
        <w:t>公开比选</w:t>
      </w:r>
      <w:r>
        <w:rPr>
          <w:rFonts w:asciiTheme="majorEastAsia" w:hAnsiTheme="majorEastAsia" w:eastAsiaTheme="majorEastAsia"/>
          <w:szCs w:val="24"/>
          <w:highlight w:val="none"/>
        </w:rPr>
        <w:t>文件。</w:t>
      </w:r>
    </w:p>
    <w:p w14:paraId="3B61F141">
      <w:pPr>
        <w:adjustRightInd w:val="0"/>
        <w:snapToGrid w:val="0"/>
        <w:spacing w:line="360" w:lineRule="auto"/>
        <w:ind w:firstLine="480" w:firstLineChars="200"/>
        <w:jc w:val="left"/>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方式：线上购买，售价 500 元（人民币），售后不退。通过“</w:t>
      </w:r>
      <w:r>
        <w:rPr>
          <w:rFonts w:hint="eastAsia" w:asciiTheme="majorEastAsia" w:hAnsiTheme="majorEastAsia" w:eastAsiaTheme="majorEastAsia"/>
          <w:sz w:val="24"/>
          <w:szCs w:val="24"/>
          <w:highlight w:val="none"/>
        </w:rPr>
        <w:t>采购</w:t>
      </w:r>
      <w:r>
        <w:rPr>
          <w:rFonts w:asciiTheme="majorEastAsia" w:hAnsiTheme="majorEastAsia" w:eastAsiaTheme="majorEastAsia"/>
          <w:sz w:val="24"/>
          <w:szCs w:val="24"/>
          <w:highlight w:val="none"/>
        </w:rPr>
        <w:t>代理机构”的电子平台进行文件费支付及网上获取比选文件。通过以下两种方式之一（a或b）即可进行费用支付。</w:t>
      </w:r>
    </w:p>
    <w:p w14:paraId="377128A7">
      <w:pPr>
        <w:adjustRightInd w:val="0"/>
        <w:snapToGrid w:val="0"/>
        <w:spacing w:line="360" w:lineRule="auto"/>
        <w:ind w:firstLine="482" w:firstLineChars="200"/>
        <w:jc w:val="left"/>
        <w:rPr>
          <w:rFonts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a.手机端：</w:t>
      </w:r>
      <w:r>
        <w:rPr>
          <w:rFonts w:asciiTheme="majorEastAsia" w:hAnsiTheme="majorEastAsia" w:eastAsiaTheme="majorEastAsia"/>
          <w:sz w:val="24"/>
          <w:szCs w:val="24"/>
          <w:highlight w:val="none"/>
        </w:rPr>
        <w:t>获取时间内关注微信公众号“采易招”点击“公共服务”</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“投标登记”</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“公开项目/邀请项目”找到相应的项目进行登记，并进行报名材料上传及支付。</w:t>
      </w:r>
    </w:p>
    <w:p w14:paraId="0B315794">
      <w:pPr>
        <w:adjustRightInd w:val="0"/>
        <w:snapToGrid w:val="0"/>
        <w:spacing w:line="360" w:lineRule="auto"/>
        <w:ind w:firstLine="482" w:firstLineChars="200"/>
        <w:jc w:val="left"/>
        <w:rPr>
          <w:rFonts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b.PC端：</w:t>
      </w:r>
      <w:r>
        <w:rPr>
          <w:rFonts w:hint="eastAsia" w:asciiTheme="majorEastAsia" w:hAnsiTheme="majorEastAsia" w:eastAsiaTheme="majorEastAsia"/>
          <w:sz w:val="24"/>
          <w:szCs w:val="24"/>
          <w:highlight w:val="none"/>
        </w:rPr>
        <w:t>输入“采易招”网址（https://www.gpdi.com/homepage)，注册登录（步骤</w:t>
      </w:r>
    </w:p>
    <w:p w14:paraId="7EF9721F">
      <w:pPr>
        <w:adjustRightInd w:val="0"/>
        <w:snapToGrid w:val="0"/>
        <w:spacing w:line="360" w:lineRule="auto"/>
        <w:jc w:val="left"/>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详细操作指引见“采易招”电子采购与招标平台(https://www.gpdi.com/homepage)--服务指南--供应商操作手册）后，点击“我要报名”找到相应的项目进行登记，并进行报名材料上传及支付、文件的自助获取。</w:t>
      </w:r>
    </w:p>
    <w:p w14:paraId="429C19A8">
      <w:pPr>
        <w:spacing w:line="360" w:lineRule="auto"/>
        <w:ind w:firstLine="480" w:firstLineChars="200"/>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注:“采易招”IT 支撑QQ:2604586483（工作日9:00-12:00，下午2:30-5:30），该QQ仅解决“采易</w:t>
      </w:r>
      <w:r>
        <w:rPr>
          <w:rFonts w:asciiTheme="majorEastAsia" w:hAnsiTheme="majorEastAsia" w:eastAsiaTheme="majorEastAsia"/>
          <w:sz w:val="24"/>
          <w:szCs w:val="24"/>
          <w:highlight w:val="none"/>
        </w:rPr>
        <w:t>招</w:t>
      </w:r>
      <w:r>
        <w:rPr>
          <w:rFonts w:hint="eastAsia" w:asciiTheme="majorEastAsia" w:hAnsiTheme="majorEastAsia" w:eastAsiaTheme="majorEastAsia"/>
          <w:sz w:val="24"/>
          <w:szCs w:val="24"/>
          <w:highlight w:val="none"/>
        </w:rPr>
        <w:t>”系统问题，业务相关问题请详询公告“八、对本次采购提出询问，请按以下方式联系。”中的联系。</w:t>
      </w:r>
    </w:p>
    <w:p w14:paraId="7991086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未按照上述要求合法获取采购文件的，采购人将不予受理其响应。</w:t>
      </w:r>
    </w:p>
    <w:p w14:paraId="4BFBAD4F">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售价：500元，本</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公告包含的采购文件售价总和。</w:t>
      </w:r>
    </w:p>
    <w:p w14:paraId="1134868B">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14:paraId="271A49FB">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w:t>
      </w:r>
      <w:r>
        <w:rPr>
          <w:rFonts w:hint="eastAsia"/>
          <w:color w:val="000000" w:themeColor="text1"/>
          <w:highlight w:val="none"/>
          <w:u w:val="single"/>
          <w14:textFill>
            <w14:solidFill>
              <w14:schemeClr w14:val="tx1"/>
            </w14:solidFill>
          </w14:textFill>
        </w:rPr>
        <w:t>6</w:t>
      </w:r>
      <w:r>
        <w:rPr>
          <w:color w:val="000000" w:themeColor="text1"/>
          <w:highlight w:val="none"/>
          <w:u w:val="singl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8</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13</w:t>
      </w:r>
      <w:r>
        <w:rPr>
          <w:color w:val="000000" w:themeColor="text1"/>
          <w:highlight w:val="none"/>
          <w:u w:val="single"/>
          <w14:textFill>
            <w14:solidFill>
              <w14:schemeClr w14:val="tx1"/>
            </w14:solidFill>
          </w14:textFill>
        </w:rPr>
        <w:t>日</w:t>
      </w:r>
      <w:r>
        <w:rPr>
          <w:rFonts w:hint="eastAsia"/>
          <w:color w:val="000000" w:themeColor="text1"/>
          <w:highlight w:val="none"/>
          <w:u w:val="single"/>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0</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3694E09A">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w:t>
      </w:r>
      <w:r>
        <w:rPr>
          <w:rFonts w:hint="eastAsia"/>
          <w:color w:val="000000" w:themeColor="text1"/>
          <w:highlight w:val="none"/>
          <w:u w:val="single"/>
          <w14:textFill>
            <w14:solidFill>
              <w14:schemeClr w14:val="tx1"/>
            </w14:solidFill>
          </w14:textFill>
        </w:rPr>
        <w:t>6</w:t>
      </w:r>
      <w:r>
        <w:rPr>
          <w:color w:val="000000" w:themeColor="text1"/>
          <w:highlight w:val="none"/>
          <w:u w:val="singl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8</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13</w:t>
      </w:r>
      <w:r>
        <w:rPr>
          <w:color w:val="000000" w:themeColor="text1"/>
          <w:highlight w:val="none"/>
          <w:u w:val="single"/>
          <w14:textFill>
            <w14:solidFill>
              <w14:schemeClr w14:val="tx1"/>
            </w14:solidFill>
          </w14:textFill>
        </w:rPr>
        <w:t>日</w:t>
      </w:r>
      <w:r>
        <w:rPr>
          <w:rFonts w:hint="eastAsia"/>
          <w:color w:val="000000" w:themeColor="text1"/>
          <w:highlight w:val="none"/>
          <w:u w:val="single"/>
          <w14:textFill>
            <w14:solidFill>
              <w14:schemeClr w14:val="tx1"/>
            </w14:solidFill>
          </w14:textFill>
        </w:rPr>
        <w:t>1</w:t>
      </w:r>
      <w:r>
        <w:rPr>
          <w:rFonts w:hint="eastAsia"/>
          <w:color w:val="000000" w:themeColor="text1"/>
          <w:highlight w:val="none"/>
          <w:u w:val="single"/>
          <w:lang w:val="en-US" w:eastAsia="zh-CN"/>
          <w14:textFill>
            <w14:solidFill>
              <w14:schemeClr w14:val="tx1"/>
            </w14:solidFill>
          </w14:textFill>
        </w:rPr>
        <w:t>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3</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08793330">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地点：</w:t>
      </w:r>
      <w:r>
        <w:rPr>
          <w:rFonts w:hint="eastAsia"/>
          <w:color w:val="000000" w:themeColor="text1"/>
          <w:highlight w:val="none"/>
          <w:u w:val="single"/>
          <w14:textFill>
            <w14:solidFill>
              <w14:schemeClr w14:val="tx1"/>
            </w14:solidFill>
          </w14:textFill>
        </w:rPr>
        <w:t>南京邮电大学仙林校区行政南楼</w:t>
      </w:r>
      <w:r>
        <w:rPr>
          <w:rFonts w:hint="eastAsia"/>
          <w:color w:val="000000" w:themeColor="text1"/>
          <w:highlight w:val="none"/>
          <w:u w:val="single"/>
          <w:lang w:val="en-US"/>
          <w14:textFill>
            <w14:solidFill>
              <w14:schemeClr w14:val="tx1"/>
            </w14:solidFill>
          </w14:textFill>
        </w:rPr>
        <w:t>146</w:t>
      </w:r>
      <w:r>
        <w:rPr>
          <w:rFonts w:hint="eastAsia"/>
          <w:color w:val="000000" w:themeColor="text1"/>
          <w:highlight w:val="none"/>
          <w:u w:val="single"/>
          <w14:textFill>
            <w14:solidFill>
              <w14:schemeClr w14:val="tx1"/>
            </w14:solidFill>
          </w14:textFill>
        </w:rPr>
        <w:t>室（南京市栖霞区文苑路</w:t>
      </w:r>
      <w:r>
        <w:rPr>
          <w:rFonts w:hint="eastAsia"/>
          <w:color w:val="000000" w:themeColor="text1"/>
          <w:highlight w:val="none"/>
          <w:u w:val="single"/>
          <w:lang w:val="en-US"/>
          <w14:textFill>
            <w14:solidFill>
              <w14:schemeClr w14:val="tx1"/>
            </w14:solidFill>
          </w14:textFill>
        </w:rPr>
        <w:t>9</w:t>
      </w:r>
      <w:r>
        <w:rPr>
          <w:rFonts w:hint="eastAsia"/>
          <w:color w:val="000000" w:themeColor="text1"/>
          <w:highlight w:val="none"/>
          <w:u w:val="single"/>
          <w14:textFill>
            <w14:solidFill>
              <w14:schemeClr w14:val="tx1"/>
            </w14:solidFill>
          </w14:textFill>
        </w:rPr>
        <w:t>号）</w:t>
      </w:r>
      <w:r>
        <w:rPr>
          <w:color w:val="000000" w:themeColor="text1"/>
          <w:highlight w:val="none"/>
          <w:u w:val="none"/>
          <w14:textFill>
            <w14:solidFill>
              <w14:schemeClr w14:val="tx1"/>
            </w14:solidFill>
          </w14:textFill>
        </w:rPr>
        <w:t>；</w:t>
      </w:r>
    </w:p>
    <w:p w14:paraId="2CAD779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届时请</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法定代表人或其委托授权代表出席</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仪式。</w:t>
      </w:r>
    </w:p>
    <w:p w14:paraId="15D22D82">
      <w:pPr>
        <w:pStyle w:val="17"/>
        <w:numPr>
          <w:ilvl w:val="0"/>
          <w:numId w:val="2"/>
        </w:numPr>
        <w:spacing w:line="360" w:lineRule="auto"/>
        <w:ind w:firstLineChars="0"/>
        <w:rPr>
          <w:b/>
          <w:color w:val="000000" w:themeColor="text1"/>
          <w:highlight w:val="none"/>
          <w14:textFill>
            <w14:solidFill>
              <w14:schemeClr w14:val="tx1"/>
            </w14:solidFill>
          </w14:textFill>
        </w:rPr>
      </w:pPr>
      <w:bookmarkStart w:id="0" w:name="六、公告期限"/>
      <w:bookmarkEnd w:id="0"/>
      <w:r>
        <w:rPr>
          <w:b/>
          <w:color w:val="000000" w:themeColor="text1"/>
          <w:highlight w:val="none"/>
          <w14:textFill>
            <w14:solidFill>
              <w14:schemeClr w14:val="tx1"/>
            </w14:solidFill>
          </w14:textFill>
        </w:rPr>
        <w:t>公告期限</w:t>
      </w:r>
    </w:p>
    <w:p w14:paraId="3B28908B">
      <w:pPr>
        <w:pStyle w:val="17"/>
        <w:spacing w:line="360" w:lineRule="auto"/>
        <w:ind w:firstLine="480"/>
        <w:rPr>
          <w:color w:val="000000" w:themeColor="text1"/>
          <w:highlight w:val="none"/>
          <w14:textFill>
            <w14:solidFill>
              <w14:schemeClr w14:val="tx1"/>
            </w14:solidFill>
          </w14:textFill>
        </w:rPr>
      </w:pPr>
      <w:bookmarkStart w:id="1" w:name="自本公告发布之日起5个工作日。"/>
      <w:bookmarkEnd w:id="1"/>
      <w:r>
        <w:rPr>
          <w:color w:val="000000" w:themeColor="text1"/>
          <w:highlight w:val="none"/>
          <w14:textFill>
            <w14:solidFill>
              <w14:schemeClr w14:val="tx1"/>
            </w14:solidFill>
          </w14:textFill>
        </w:rPr>
        <w:t>自本公告发布之日起5日。</w:t>
      </w:r>
    </w:p>
    <w:p w14:paraId="1E3E06CE">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14:paraId="4C97CC4D">
      <w:pPr>
        <w:pStyle w:val="17"/>
        <w:numPr>
          <w:ilvl w:val="0"/>
          <w:numId w:val="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需承担前述不一致造成的不利后果。每份纸质文件须清楚标明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字样。一旦正本和副本不符，以正本为准。</w:t>
      </w:r>
    </w:p>
    <w:p w14:paraId="76857A0A">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p>
    <w:p w14:paraId="79A7CA3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14:paraId="35049DAE">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14:paraId="0D21FB00">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采购人信息</w:t>
      </w:r>
    </w:p>
    <w:p w14:paraId="6BA6D9D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名称：南京邮电大学</w:t>
      </w:r>
    </w:p>
    <w:p w14:paraId="7B00A2D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地址：南京市栖霞区文苑路9号</w:t>
      </w:r>
    </w:p>
    <w:p w14:paraId="6274DF4F">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彭</w:t>
      </w:r>
      <w:r>
        <w:rPr>
          <w:color w:val="000000" w:themeColor="text1"/>
          <w:highlight w:val="none"/>
          <w14:textFill>
            <w14:solidFill>
              <w14:schemeClr w14:val="tx1"/>
            </w14:solidFill>
          </w14:textFill>
        </w:rPr>
        <w:t>老师</w:t>
      </w:r>
    </w:p>
    <w:p w14:paraId="38A7D09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025-85866541</w:t>
      </w:r>
    </w:p>
    <w:p w14:paraId="18FAD4A1">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采购代理机构信息</w:t>
      </w:r>
    </w:p>
    <w:p w14:paraId="69BBE3C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 广东省电信规划设计院有限公司</w:t>
      </w:r>
    </w:p>
    <w:p w14:paraId="681F1BF7">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w:t>
      </w:r>
      <w:r>
        <w:rPr>
          <w:rFonts w:hint="eastAsia"/>
          <w:color w:val="000000" w:themeColor="text1"/>
          <w:highlight w:val="none"/>
          <w14:textFill>
            <w14:solidFill>
              <w14:schemeClr w14:val="tx1"/>
            </w14:solidFill>
          </w14:textFill>
        </w:rPr>
        <w:t>南京市浦口区万寿路149号万象企业中心B12栋9楼</w:t>
      </w:r>
    </w:p>
    <w:p w14:paraId="0C80D389">
      <w:pPr>
        <w:pStyle w:val="17"/>
        <w:spacing w:line="360" w:lineRule="auto"/>
        <w:ind w:firstLine="480"/>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13</w:t>
      </w:r>
      <w:r>
        <w:rPr>
          <w:rFonts w:hint="eastAsia"/>
          <w:color w:val="000000" w:themeColor="text1"/>
          <w:highlight w:val="none"/>
          <w:lang w:val="en-US" w:eastAsia="zh-CN"/>
          <w14:textFill>
            <w14:solidFill>
              <w14:schemeClr w14:val="tx1"/>
            </w14:solidFill>
          </w14:textFill>
        </w:rPr>
        <w:t>776678246</w:t>
      </w:r>
    </w:p>
    <w:p w14:paraId="453FEB76">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项目联系方式</w:t>
      </w:r>
    </w:p>
    <w:p w14:paraId="4038ECA7">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项目联系人：卜彩霞</w:t>
      </w:r>
      <w:r>
        <w:rPr>
          <w:rFonts w:hint="eastAsia"/>
          <w:color w:val="000000" w:themeColor="text1"/>
          <w:highlight w:val="none"/>
          <w14:textFill>
            <w14:solidFill>
              <w14:schemeClr w14:val="tx1"/>
            </w14:solidFill>
          </w14:textFill>
        </w:rPr>
        <w:t>、严盼盼、王永琰、</w:t>
      </w:r>
      <w:r>
        <w:rPr>
          <w:color w:val="000000" w:themeColor="text1"/>
          <w:highlight w:val="none"/>
          <w14:textFill>
            <w14:solidFill>
              <w14:schemeClr w14:val="tx1"/>
            </w14:solidFill>
          </w14:textFill>
        </w:rPr>
        <w:t>蒋卫林</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徐康康</w:t>
      </w:r>
    </w:p>
    <w:p w14:paraId="1ECF8899">
      <w:pPr>
        <w:pStyle w:val="17"/>
        <w:spacing w:line="360" w:lineRule="auto"/>
        <w:ind w:firstLine="480"/>
        <w:rPr>
          <w:rFonts w:hint="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电话：</w:t>
      </w:r>
      <w:r>
        <w:rPr>
          <w:rFonts w:hint="eastAsia"/>
          <w:color w:val="000000" w:themeColor="text1"/>
          <w:highlight w:val="none"/>
          <w14:textFill>
            <w14:solidFill>
              <w14:schemeClr w14:val="tx1"/>
            </w14:solidFill>
          </w14:textFill>
        </w:rPr>
        <w:t>13</w:t>
      </w:r>
      <w:r>
        <w:rPr>
          <w:rFonts w:hint="eastAsia"/>
          <w:color w:val="000000" w:themeColor="text1"/>
          <w:highlight w:val="none"/>
          <w:lang w:val="en-US" w:eastAsia="zh-CN"/>
          <w14:textFill>
            <w14:solidFill>
              <w14:schemeClr w14:val="tx1"/>
            </w14:solidFill>
          </w14:textFill>
        </w:rPr>
        <w:t>776678246</w:t>
      </w:r>
    </w:p>
    <w:p w14:paraId="1CC567C6">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2" w:name="_Toc28359008"/>
      <w:bookmarkStart w:id="3" w:name="_Toc28359085"/>
      <w:bookmarkStart w:id="4" w:name="_Toc35393627"/>
      <w:bookmarkStart w:id="5" w:name="_Toc35393796"/>
    </w:p>
    <w:bookmarkEnd w:id="2"/>
    <w:bookmarkEnd w:id="3"/>
    <w:bookmarkEnd w:id="4"/>
    <w:bookmarkEnd w:id="5"/>
    <w:p w14:paraId="5C2AD784">
      <w:pPr>
        <w:spacing w:line="360" w:lineRule="auto"/>
        <w:rPr>
          <w:rFonts w:ascii="宋体" w:hAnsi="宋体" w:cs="黑体"/>
          <w:color w:val="000000" w:themeColor="text1"/>
          <w:sz w:val="36"/>
          <w:highlight w:val="none"/>
          <w14:textFill>
            <w14:solidFill>
              <w14:schemeClr w14:val="tx1"/>
            </w14:solidFill>
          </w14:textFill>
        </w:rPr>
      </w:pPr>
      <w:r>
        <w:rPr>
          <w:rFonts w:ascii="宋体" w:hAnsi="宋体" w:cs="黑体"/>
          <w:color w:val="000000" w:themeColor="text1"/>
          <w:sz w:val="36"/>
          <w:highlight w:val="none"/>
          <w14:textFill>
            <w14:solidFill>
              <w14:schemeClr w14:val="tx1"/>
            </w14:solidFill>
          </w14:textFill>
        </w:rPr>
        <w:br w:type="page"/>
      </w:r>
    </w:p>
    <w:p w14:paraId="08F49670">
      <w:pPr>
        <w:pStyle w:val="2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第二章  </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w:t>
      </w:r>
    </w:p>
    <w:p w14:paraId="6BCD78BE">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总则</w:t>
      </w:r>
    </w:p>
    <w:p w14:paraId="3FC2DFB0">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w:t>
      </w:r>
      <w:r>
        <w:rPr>
          <w:rFonts w:hint="eastAsia"/>
          <w:color w:val="000000" w:themeColor="text1"/>
          <w:highlight w:val="none"/>
          <w14:textFill>
            <w14:solidFill>
              <w14:schemeClr w14:val="tx1"/>
            </w14:solidFill>
          </w14:textFill>
        </w:rPr>
        <w:t>规则</w:t>
      </w:r>
    </w:p>
    <w:p w14:paraId="73EE2855">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本采购项目为非政府采购项目，本次采购适用《南京邮电大学采购招标管理办法（修订）》（校发〔2025〕34号）</w:t>
      </w:r>
      <w:r>
        <w:rPr>
          <w:color w:val="000000" w:themeColor="text1"/>
          <w:highlight w:val="none"/>
          <w14:textFill>
            <w14:solidFill>
              <w14:schemeClr w14:val="tx1"/>
            </w14:solidFill>
          </w14:textFill>
        </w:rPr>
        <w:t>《南京邮电大学校内集中采购管理实施细则 （试行）》（校发〔2023〕39号）《南京邮电大学采购项目质疑答复和投诉处理实施细则（试行）》（校发〔2023〕38号）等</w:t>
      </w:r>
      <w:r>
        <w:rPr>
          <w:rFonts w:hint="eastAsia"/>
          <w:color w:val="000000" w:themeColor="text1"/>
          <w:highlight w:val="none"/>
          <w14:textFill>
            <w14:solidFill>
              <w14:schemeClr w14:val="tx1"/>
            </w14:solidFill>
          </w14:textFill>
        </w:rPr>
        <w:t>南京邮电大学内控制度</w:t>
      </w:r>
      <w:r>
        <w:rPr>
          <w:color w:val="000000" w:themeColor="text1"/>
          <w:highlight w:val="none"/>
          <w14:textFill>
            <w14:solidFill>
              <w14:schemeClr w14:val="tx1"/>
            </w14:solidFill>
          </w14:textFill>
        </w:rPr>
        <w:t>（文件详见链接https://zbb.njupt.edu.cn/xngzzd/index.chtml）。</w:t>
      </w:r>
    </w:p>
    <w:p w14:paraId="1FE8CC2C">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定义</w:t>
      </w:r>
    </w:p>
    <w:p w14:paraId="4518B059">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竞争，并符合采购文件规定资格条件的法人、其他组织或者自然人。</w:t>
      </w:r>
    </w:p>
    <w:p w14:paraId="7EA01D54">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ascii="宋体" w:hAnsi="宋体" w:cs="宋体"/>
          <w:color w:val="000000"/>
          <w:szCs w:val="21"/>
          <w:highlight w:val="none"/>
        </w:rPr>
        <w:t>“货物和服务”是指</w:t>
      </w:r>
      <w:r>
        <w:rPr>
          <w:color w:val="000000" w:themeColor="text1"/>
          <w:highlight w:val="none"/>
          <w14:textFill>
            <w14:solidFill>
              <w14:schemeClr w14:val="tx1"/>
            </w14:solidFill>
          </w14:textFill>
        </w:rPr>
        <w:t>本采购文件</w:t>
      </w:r>
      <w:r>
        <w:rPr>
          <w:rFonts w:hint="eastAsia" w:ascii="宋体" w:hAnsi="宋体" w:cs="宋体"/>
          <w:color w:val="000000"/>
          <w:szCs w:val="21"/>
          <w:highlight w:val="none"/>
        </w:rPr>
        <w:t>中所述产品及相关服务。</w:t>
      </w:r>
    </w:p>
    <w:p w14:paraId="55ABFE8B">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ascii="宋体" w:hAnsi="宋体" w:cs="宋体"/>
          <w:color w:val="000000"/>
          <w:szCs w:val="21"/>
          <w:highlight w:val="none"/>
        </w:rPr>
        <w:t>“采购人”、“用户”、“使用单位”是指使用货物及接受服务的单位。</w:t>
      </w:r>
    </w:p>
    <w:p w14:paraId="2715BC06">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采购文件</w:t>
      </w:r>
    </w:p>
    <w:p w14:paraId="56E8F449">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采购文件组成</w:t>
      </w:r>
    </w:p>
    <w:p w14:paraId="1277518C">
      <w:pPr>
        <w:pStyle w:val="17"/>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采购文件组成：</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标准、采购</w:t>
      </w:r>
      <w:r>
        <w:rPr>
          <w:rFonts w:hint="eastAsia"/>
          <w:color w:val="000000" w:themeColor="text1"/>
          <w:highlight w:val="none"/>
          <w14:textFill>
            <w14:solidFill>
              <w14:schemeClr w14:val="tx1"/>
            </w14:solidFill>
          </w14:textFill>
        </w:rPr>
        <w:t>需求</w:t>
      </w:r>
      <w:r>
        <w:rPr>
          <w:color w:val="000000" w:themeColor="text1"/>
          <w:highlight w:val="none"/>
          <w14:textFill>
            <w14:solidFill>
              <w14:schemeClr w14:val="tx1"/>
            </w14:solidFill>
          </w14:textFill>
        </w:rPr>
        <w:t>、合同主要条款及格式、响应文件格式及附件等。</w:t>
      </w:r>
    </w:p>
    <w:p w14:paraId="63D7AA58">
      <w:pPr>
        <w:pStyle w:val="17"/>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采购的最小单位是包。采购服务数量及技术要求中未分包的，供应商对要求提供的服务不得部分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；采购服务数量及技术要求中已经分包的，应当以包为单位</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02C5EC39">
      <w:pPr>
        <w:pStyle w:val="17"/>
        <w:widowControl/>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采购文件如果要求供应商提交备选方案的，供应商可以提交备选方案，否则，不接受备选方案。</w:t>
      </w:r>
    </w:p>
    <w:p w14:paraId="14C8BFDB">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采购文件的澄清修改</w:t>
      </w:r>
    </w:p>
    <w:p w14:paraId="01873C0C">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发布更正公告的形式通知所有已获取采购文件的供应商，不足3个工作日的，应当顺延提交响应文件截止之日。</w:t>
      </w:r>
    </w:p>
    <w:p w14:paraId="3EA20339">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highlight w:val="none"/>
          <w14:textFill>
            <w14:solidFill>
              <w14:schemeClr w14:val="tx1"/>
            </w14:solidFill>
          </w14:textFill>
        </w:rPr>
        <w:t>开启</w:t>
      </w:r>
      <w:r>
        <w:rPr>
          <w:color w:val="000000" w:themeColor="text1"/>
          <w:highlight w:val="none"/>
          <w14:textFill>
            <w14:solidFill>
              <w14:schemeClr w14:val="tx1"/>
            </w14:solidFill>
          </w14:textFill>
        </w:rPr>
        <w:t>时间，并在原采购信息发布媒体上发布更正公告。</w:t>
      </w:r>
    </w:p>
    <w:p w14:paraId="08C18D41">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供应商应在提交响应文件截止时间前关注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上有关本采购项目有无更正公告。</w:t>
      </w:r>
    </w:p>
    <w:p w14:paraId="0A84754D">
      <w:pPr>
        <w:pStyle w:val="17"/>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p>
    <w:p w14:paraId="08CB43E1">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响应文件的语言、计量单位、货币、技术标准和编制</w:t>
      </w:r>
    </w:p>
    <w:p w14:paraId="0EE4D1DE">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供应商提交的响应文件、技术文件和资料，包括图纸中的说明，以及供应商与代理机构就有关</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28D34D0E">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供应商所使用的计量单位应为国家法定计量单位。</w:t>
      </w:r>
    </w:p>
    <w:p w14:paraId="02A9B846">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供应商应用人民币报价。</w:t>
      </w:r>
    </w:p>
    <w:p w14:paraId="006FB217">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响应文件应字迹清楚、内容齐全、不得涂改。如有修改，修改处须有响应文件签署人签字或加盖公章。</w:t>
      </w:r>
    </w:p>
    <w:p w14:paraId="38B71F03">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供应商所使用的技术标准应遵循国家最新标准及规范。</w:t>
      </w:r>
    </w:p>
    <w:p w14:paraId="0B2B80F9">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联合体及分包：本项目不接受联合体</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，不接受分包、转包。</w:t>
      </w:r>
    </w:p>
    <w:p w14:paraId="3C01A161">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采购项目如接受联合体</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的，两个以上的自然人、法人或者其他组织可以组成一个联合体，以一个供应商的身份共同参加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357281E6">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，也不得组成新的联合体参加同一项目</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6C6AADA7">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采购合同分包履行的，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供应商就采购项目和分包项目向采购人负责，分包项目供应商就分包项目承担责任，</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供应商与分包人之间应该签订分包意向协议。</w:t>
      </w:r>
    </w:p>
    <w:p w14:paraId="796289A9">
      <w:pPr>
        <w:pStyle w:val="17"/>
        <w:numPr>
          <w:ilvl w:val="0"/>
          <w:numId w:val="12"/>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费用</w:t>
      </w:r>
    </w:p>
    <w:p w14:paraId="0DF22155">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供应商应承担所有与准备和参加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有关的费用，无论采购结果如何，代理机构和采购人在任何情况下均无义务和责任承担这些费用。</w:t>
      </w:r>
    </w:p>
    <w:p w14:paraId="6C73DB38">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采购代理服务费按照国家发展和改革委员会下发的《关于降低部分建设项目收费标准规范收费行为等有关问题的通知》（发改价格</w:t>
      </w:r>
      <w:r>
        <w:rPr>
          <w:rFonts w:hint="eastAsia"/>
          <w:color w:val="000000" w:themeColor="text1"/>
          <w:highlight w:val="none"/>
          <w14:textFill>
            <w14:solidFill>
              <w14:schemeClr w14:val="tx1"/>
            </w14:solidFill>
          </w14:textFill>
        </w:rPr>
        <w:t>〔2011〕</w:t>
      </w:r>
      <w:r>
        <w:rPr>
          <w:color w:val="000000" w:themeColor="text1"/>
          <w:highlight w:val="none"/>
          <w14:textFill>
            <w14:solidFill>
              <w14:schemeClr w14:val="tx1"/>
            </w14:solidFill>
          </w14:textFill>
        </w:rPr>
        <w:t>534 号）所列采购代理服务费收费标准下浮</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58</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%（优惠率）收取。代理服务费包括所供服务相关的所有费用，工程类采购代理项目报价包含编制工程量清单、确定</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控制价等所有费用。</w:t>
      </w:r>
    </w:p>
    <w:p w14:paraId="4112D519">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0649E868">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采购代理服务费按项目结算，由采购代理服务商向具体项目的成交单位收取。</w:t>
      </w:r>
      <w:r>
        <w:rPr>
          <w:rFonts w:hint="eastAsia"/>
          <w:color w:val="000000" w:themeColor="text1"/>
          <w:highlight w:val="none"/>
          <w14:textFill>
            <w14:solidFill>
              <w14:schemeClr w14:val="tx1"/>
            </w14:solidFill>
          </w14:textFill>
        </w:rPr>
        <w:t>成交供应商须在领取成交通知书前，向采购代理机构一次性缴清采购代理服务费。</w:t>
      </w:r>
    </w:p>
    <w:p w14:paraId="0A8B2931">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响应文件组成</w:t>
      </w:r>
    </w:p>
    <w:p w14:paraId="2F82381E">
      <w:pPr>
        <w:pStyle w:val="17"/>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0F2DA32D">
      <w:pPr>
        <w:pStyle w:val="17"/>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响应文件由商务部分、技术部分、价格部分，以及其他部分组成。</w:t>
      </w:r>
    </w:p>
    <w:p w14:paraId="29165C64">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响应文件的商务部分</w:t>
      </w:r>
    </w:p>
    <w:p w14:paraId="5EF053C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9.1 商务部分是证明供应商有资格参加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和成交后有能力履行合同的文件，这些文件应能满足采购的要求，包括但不限于下列文件，其中加</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★”项目不得有缺失或无效：</w:t>
      </w:r>
    </w:p>
    <w:p w14:paraId="32284DD9">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函（</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申请及声明）；</w:t>
      </w:r>
    </w:p>
    <w:p w14:paraId="71DF5040">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★法定代表人授权委托书及授权委托人的身份证复印件（有授权委托的），或法定代表人身份证复印件（无授权委托的）；</w:t>
      </w:r>
    </w:p>
    <w:p w14:paraId="027EBDE2">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★第一章</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二、申请人的资格要求规定的资格条件证明文件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14:paraId="3470BBBE">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p w14:paraId="3EA28192">
      <w:pPr>
        <w:pStyle w:val="17"/>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合同条款；</w:t>
      </w:r>
    </w:p>
    <w:p w14:paraId="05D36103">
      <w:pPr>
        <w:pStyle w:val="17"/>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供应商认为需要提供的其他资格证明文件和商务资料。</w:t>
      </w:r>
    </w:p>
    <w:p w14:paraId="26FE9CC5">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响应文件的技术部分</w:t>
      </w:r>
    </w:p>
    <w:p w14:paraId="5D312BCD">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技术部分是证明供应商提供的服务是合格的、并符合采购文件要求的证明文件，以及对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报价表中的服务的详细说明，这些文件可以是文字资料、图纸和数据等。</w:t>
      </w:r>
    </w:p>
    <w:p w14:paraId="6D8569FC">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若提供的服务与采购文件要求有不符之处，应说明其差别之所在。</w:t>
      </w:r>
    </w:p>
    <w:p w14:paraId="10C3CCC6">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响应文件应按照采购文件要求提供服务说明，技术资料、文件和有关证明，包括但不限于以下材料：</w:t>
      </w:r>
    </w:p>
    <w:p w14:paraId="4C59D2FD">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提供技术及</w:t>
      </w:r>
      <w:r>
        <w:rPr>
          <w:rFonts w:hint="eastAsia"/>
          <w:color w:val="000000" w:themeColor="text1"/>
          <w:highlight w:val="none"/>
          <w14:textFill>
            <w14:solidFill>
              <w14:schemeClr w14:val="tx1"/>
            </w14:solidFill>
          </w14:textFill>
        </w:rPr>
        <w:t>服务</w:t>
      </w:r>
      <w:r>
        <w:rPr>
          <w:color w:val="000000" w:themeColor="text1"/>
          <w:highlight w:val="none"/>
          <w14:textFill>
            <w14:solidFill>
              <w14:schemeClr w14:val="tx1"/>
            </w14:solidFill>
          </w14:textFill>
        </w:rPr>
        <w:t>方案；</w:t>
      </w:r>
    </w:p>
    <w:p w14:paraId="1620DF47">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p w14:paraId="0E93987A">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服务承诺；</w:t>
      </w:r>
    </w:p>
    <w:p w14:paraId="5E47594D">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供应商拟投入本项目的设备、人员情况一览表；</w:t>
      </w:r>
    </w:p>
    <w:p w14:paraId="495B2F17">
      <w:pPr>
        <w:pStyle w:val="17"/>
        <w:widowControl/>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供应商认为需要提供的其他技术资料。</w:t>
      </w:r>
    </w:p>
    <w:p w14:paraId="6DB7B685">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响应文件的价格部分</w:t>
      </w:r>
    </w:p>
    <w:p w14:paraId="66D75D88">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价格部分是对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服务价格构成的说明，每一项服务仅接受一个价格。</w:t>
      </w:r>
    </w:p>
    <w:p w14:paraId="550C8F3E">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报价应包含</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文件所确定的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0EBE1994">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供应商的任何错漏、优惠、竞争性报价不得作为减轻责任、减少服务、增加收费、降低质量的理由。</w:t>
      </w:r>
    </w:p>
    <w:p w14:paraId="15669DAE">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一览表》《分项报价表》</w:t>
      </w:r>
      <w:r>
        <w:rPr>
          <w:rFonts w:hint="eastAsia"/>
          <w:color w:val="000000" w:themeColor="text1"/>
          <w:highlight w:val="none"/>
          <w14:textFill>
            <w14:solidFill>
              <w14:schemeClr w14:val="tx1"/>
            </w14:solidFill>
          </w14:textFill>
        </w:rPr>
        <w:t>中列</w:t>
      </w:r>
      <w:r>
        <w:rPr>
          <w:color w:val="000000" w:themeColor="text1"/>
          <w:highlight w:val="none"/>
          <w14:textFill>
            <w14:solidFill>
              <w14:schemeClr w14:val="tx1"/>
            </w14:solidFill>
          </w14:textFill>
        </w:rPr>
        <w:t>明提供货物和服务的单价、总价以及分项报价。</w:t>
      </w:r>
    </w:p>
    <w:p w14:paraId="6E19AAE0">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响应文件的其他部分</w:t>
      </w:r>
    </w:p>
    <w:p w14:paraId="7955B0A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供应商编制响应文件需要提供的其他相关文件。</w:t>
      </w:r>
    </w:p>
    <w:p w14:paraId="1365A12B">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响应保证金：无。</w:t>
      </w:r>
    </w:p>
    <w:p w14:paraId="0B2964CD">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响应有效期</w:t>
      </w:r>
    </w:p>
    <w:p w14:paraId="63527F8B">
      <w:pPr>
        <w:pStyle w:val="17"/>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之日起</w:t>
      </w:r>
      <w:r>
        <w:rPr>
          <w:rFonts w:hint="eastAsia"/>
          <w:color w:val="000000" w:themeColor="text1"/>
          <w:highlight w:val="none"/>
          <w14:textFill>
            <w14:solidFill>
              <w14:schemeClr w14:val="tx1"/>
            </w14:solidFill>
          </w14:textFill>
        </w:rPr>
        <w:t>九十</w:t>
      </w:r>
      <w:r>
        <w:rPr>
          <w:color w:val="000000" w:themeColor="text1"/>
          <w:highlight w:val="none"/>
          <w14:textFill>
            <w14:solidFill>
              <w14:schemeClr w14:val="tx1"/>
            </w14:solidFill>
          </w14:textFill>
        </w:rPr>
        <w:t>日内响应有效。</w:t>
      </w:r>
    </w:p>
    <w:p w14:paraId="72DA7DC4">
      <w:pPr>
        <w:pStyle w:val="17"/>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32318A39">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响应文件的份数、签署</w:t>
      </w:r>
    </w:p>
    <w:p w14:paraId="09229F89">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供应商应按照采购文件要求的份数准备响应文件，每份响应文件须清楚地标明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字样。正本和副本不符时，以正本为准。</w:t>
      </w:r>
    </w:p>
    <w:p w14:paraId="468141D1">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358996FC">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除供应商对错处做必要修改外，响应文件不得行间插字、涂改或增删。如有修改错漏处，必须由响应文件签署人签字或加盖公章。</w:t>
      </w:r>
    </w:p>
    <w:p w14:paraId="5835B14B">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响应文件的密封和递交</w:t>
      </w:r>
    </w:p>
    <w:p w14:paraId="56AF6FDD">
      <w:pPr>
        <w:pStyle w:val="17"/>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供应商应当将响应文件密封。</w:t>
      </w:r>
    </w:p>
    <w:p w14:paraId="4AECAE2C">
      <w:pPr>
        <w:pStyle w:val="17"/>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供应商应当在采购文件要求提交响应文件的截止时间前，将密封的响应文件送达响应地点。</w:t>
      </w:r>
    </w:p>
    <w:p w14:paraId="252CBE89">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有下列情形之一的响应文件将被拒收</w:t>
      </w:r>
    </w:p>
    <w:p w14:paraId="0D79A77A">
      <w:pPr>
        <w:pStyle w:val="17"/>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在采购文件要求提交响应文件的截止时间之后送达的。</w:t>
      </w:r>
    </w:p>
    <w:p w14:paraId="4C92A6D7">
      <w:pPr>
        <w:pStyle w:val="17"/>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响应文件未密封的。</w:t>
      </w:r>
    </w:p>
    <w:p w14:paraId="610A0B67">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响应文件的修改和撤回</w:t>
      </w:r>
    </w:p>
    <w:p w14:paraId="37D871FE">
      <w:pPr>
        <w:pStyle w:val="17"/>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7B3CF03B">
      <w:pPr>
        <w:pStyle w:val="17"/>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响应截止时间之后，响应文件不得撤回。</w:t>
      </w:r>
    </w:p>
    <w:p w14:paraId="7E0AF54B">
      <w:pPr>
        <w:pStyle w:val="17"/>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、评</w:t>
      </w:r>
      <w:r>
        <w:rPr>
          <w:rFonts w:hint="eastAsia"/>
          <w:b/>
          <w:color w:val="000000" w:themeColor="text1"/>
          <w:highlight w:val="none"/>
          <w14:textFill>
            <w14:solidFill>
              <w14:schemeClr w14:val="tx1"/>
            </w14:solidFill>
          </w14:textFill>
        </w:rPr>
        <w:t>审</w:t>
      </w:r>
      <w:r>
        <w:rPr>
          <w:b/>
          <w:color w:val="000000" w:themeColor="text1"/>
          <w:highlight w:val="none"/>
          <w14:textFill>
            <w14:solidFill>
              <w14:schemeClr w14:val="tx1"/>
            </w14:solidFill>
          </w14:textFill>
        </w:rPr>
        <w:t>与确定成交供应商</w:t>
      </w:r>
    </w:p>
    <w:p w14:paraId="49A7ED53">
      <w:pPr>
        <w:pStyle w:val="17"/>
        <w:numPr>
          <w:ilvl w:val="0"/>
          <w:numId w:val="26"/>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p>
    <w:p w14:paraId="42122406">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代理机构将在采购文件确定的时间和地点进行</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。供应商应委派代表准时参加，</w:t>
      </w:r>
      <w:r>
        <w:rPr>
          <w:rFonts w:hint="eastAsia"/>
          <w:color w:val="000000" w:themeColor="text1"/>
          <w:highlight w:val="none"/>
          <w14:textFill>
            <w14:solidFill>
              <w14:schemeClr w14:val="tx1"/>
            </w14:solidFill>
          </w14:textFill>
        </w:rPr>
        <w:t>未参加响应文件开启的，视同认可响应文件开启结果。</w:t>
      </w:r>
    </w:p>
    <w:p w14:paraId="566760D4">
      <w:pPr>
        <w:pStyle w:val="17"/>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03B202C4">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未宣读的响应价格、价格折扣和采购文件允许提供的备选响应方案等实质性内容，评审时不予承认。</w:t>
      </w:r>
    </w:p>
    <w:p w14:paraId="5A4433E3">
      <w:pPr>
        <w:pStyle w:val="17"/>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一览表》（报价表）内容与响应文件中相应内容不一致的，以《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一览表》（报价表）为准。</w:t>
      </w:r>
    </w:p>
    <w:p w14:paraId="518388D4">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一览表》（报价表）中报价的大写金额与小写金额不一致的，以大写金额为准。</w:t>
      </w:r>
    </w:p>
    <w:p w14:paraId="58F6A96B">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一览表》（报价表）的总价为准，并修改单价。</w:t>
      </w:r>
    </w:p>
    <w:p w14:paraId="1DEA575A">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14:paraId="02360660">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highlight w:val="none"/>
          <w14:textFill>
            <w14:solidFill>
              <w14:schemeClr w14:val="tx1"/>
            </w14:solidFill>
          </w14:textFill>
        </w:rPr>
        <w:t>其</w:t>
      </w:r>
      <w:r>
        <w:rPr>
          <w:color w:val="000000" w:themeColor="text1"/>
          <w:highlight w:val="none"/>
          <w14:textFill>
            <w14:solidFill>
              <w14:schemeClr w14:val="tx1"/>
            </w14:solidFill>
          </w14:textFill>
        </w:rPr>
        <w:t>响应无效。</w:t>
      </w:r>
    </w:p>
    <w:p w14:paraId="3A5E2978">
      <w:pPr>
        <w:pStyle w:val="17"/>
        <w:numPr>
          <w:ilvl w:val="0"/>
          <w:numId w:val="27"/>
        </w:numPr>
        <w:spacing w:line="360" w:lineRule="auto"/>
        <w:ind w:firstLine="420"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对不同文字文本响应文件的解释发生异议的，以中文文本为准。</w:t>
      </w:r>
    </w:p>
    <w:p w14:paraId="6C037FBD">
      <w:pPr>
        <w:pStyle w:val="17"/>
        <w:numPr>
          <w:ilvl w:val="0"/>
          <w:numId w:val="27"/>
        </w:numPr>
        <w:spacing w:line="360" w:lineRule="auto"/>
        <w:ind w:firstLine="420"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w:t>
      </w:r>
      <w:r>
        <w:rPr>
          <w:rFonts w:hint="eastAsia"/>
          <w:color w:val="000000" w:themeColor="text1"/>
          <w:highlight w:val="none"/>
          <w14:textFill>
            <w14:solidFill>
              <w14:schemeClr w14:val="tx1"/>
            </w14:solidFill>
          </w14:textFill>
        </w:rPr>
        <w:t>响应供应商或者合格供应商不足3家，可按以下情形处理：</w:t>
      </w:r>
    </w:p>
    <w:p w14:paraId="6B35C258">
      <w:pPr>
        <w:pStyle w:val="17"/>
        <w:spacing w:line="360" w:lineRule="auto"/>
        <w:ind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19.10.1</w:t>
      </w:r>
      <w:r>
        <w:rPr>
          <w:rFonts w:hint="eastAsia"/>
          <w:color w:val="000000" w:themeColor="text1"/>
          <w:highlight w:val="none"/>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14CFD098">
      <w:pPr>
        <w:pStyle w:val="17"/>
        <w:spacing w:line="360" w:lineRule="auto"/>
        <w:ind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19.10.2</w:t>
      </w:r>
      <w:r>
        <w:rPr>
          <w:rFonts w:hint="eastAsia"/>
          <w:color w:val="000000" w:themeColor="text1"/>
          <w:highlight w:val="none"/>
          <w14:textFill>
            <w14:solidFill>
              <w14:schemeClr w14:val="tx1"/>
            </w14:solidFill>
          </w14:textFill>
        </w:rPr>
        <w:t>除1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所列两个条件的，可转为单一来源方式采购。</w:t>
      </w:r>
    </w:p>
    <w:p w14:paraId="0C6C7FD0">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9.11</w:t>
      </w:r>
      <w:r>
        <w:rPr>
          <w:rFonts w:hint="eastAsia"/>
          <w:color w:val="000000" w:themeColor="text1"/>
          <w:highlight w:val="none"/>
          <w14:textFill>
            <w14:solidFill>
              <w14:schemeClr w14:val="tx1"/>
            </w14:solidFill>
          </w14:textFill>
        </w:rPr>
        <w:t>相同品牌产品</w:t>
      </w:r>
    </w:p>
    <w:p w14:paraId="21EDBCDD">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5F0C67E8">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7043D7EE">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非单一产品采购项目，采购文件中将载明其中的核心产品，核心产品见《第四章 项目需求》。多家供应商提供的核心产品品牌相同的，按前两款规定处理。</w:t>
      </w:r>
    </w:p>
    <w:p w14:paraId="3537150F">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w:t>
      </w:r>
    </w:p>
    <w:p w14:paraId="7848EC74">
      <w:pPr>
        <w:pStyle w:val="17"/>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评审组织</w:t>
      </w:r>
    </w:p>
    <w:p w14:paraId="6B150192">
      <w:pPr>
        <w:pStyle w:val="17"/>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评审工作由代理机构组织，具体评审事务由依法组建的评审委员会负责，并独立履行下列职责：</w:t>
      </w:r>
    </w:p>
    <w:p w14:paraId="5F998153">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审查、评价响应文件是否符合采购文件的商务、技术等实质性要求；</w:t>
      </w:r>
    </w:p>
    <w:p w14:paraId="3C6C1A33">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要求供应商对响应文件有关事项作出澄清或者说明；</w:t>
      </w:r>
    </w:p>
    <w:p w14:paraId="387FC06D">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对响应文件进行比较和评价；</w:t>
      </w:r>
    </w:p>
    <w:p w14:paraId="52345AF6">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推荐成交候选人或根据采购人委托直接确定成交供应商；</w:t>
      </w:r>
    </w:p>
    <w:p w14:paraId="7CF7D756">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向采购人报告评审中发现的违法行为。</w:t>
      </w:r>
    </w:p>
    <w:p w14:paraId="012EFD20">
      <w:pPr>
        <w:pStyle w:val="17"/>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评审委员会由采购人代表和有关技术、经济等方面的专家组成，独立开展评审工作。</w:t>
      </w:r>
    </w:p>
    <w:p w14:paraId="2EF8C1EC">
      <w:pPr>
        <w:pStyle w:val="17"/>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评审程序</w:t>
      </w:r>
    </w:p>
    <w:p w14:paraId="5D988EF7">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响应文件的资格审查</w:t>
      </w:r>
    </w:p>
    <w:p w14:paraId="38191028">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依法对供应商的资格进行审查。</w:t>
      </w:r>
    </w:p>
    <w:p w14:paraId="7E0FC1E9">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依据法律法规和采购文件的规定，对响应文件中的资格证明文件等进行审查，以确定供应商是否具备响应资格。</w:t>
      </w:r>
    </w:p>
    <w:p w14:paraId="40C44264">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在进行资格性审查的同时，将在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网站（www.creditchina.gov.cn）、对供应商是否被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w:t>
      </w:r>
      <w:r>
        <w:rPr>
          <w:rFonts w:hint="eastAsia"/>
          <w:color w:val="000000" w:themeColor="text1"/>
          <w:highlight w:val="none"/>
          <w:lang w:eastAsia="zh-CN"/>
          <w14:textFill>
            <w14:solidFill>
              <w14:schemeClr w14:val="tx1"/>
            </w14:solidFill>
          </w14:textFill>
        </w:rPr>
        <w:t>政府采购严重违法失信行为记录名单</w:t>
      </w:r>
      <w:r>
        <w:rPr>
          <w:color w:val="000000" w:themeColor="text1"/>
          <w:highlight w:val="none"/>
          <w14:textFill>
            <w14:solidFill>
              <w14:schemeClr w14:val="tx1"/>
            </w14:solidFill>
          </w14:textFill>
        </w:rPr>
        <w:t>进行查询，以确定供应商是否具备响应资格。查询结果将以网页打印的形式留存并归档。</w:t>
      </w:r>
    </w:p>
    <w:p w14:paraId="683800F0">
      <w:pPr>
        <w:pStyle w:val="17"/>
        <w:widowControl/>
        <w:numPr>
          <w:ilvl w:val="0"/>
          <w:numId w:val="3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响应文件有下列情况之一的，在资格审查时按照无效响应处理</w:t>
      </w:r>
    </w:p>
    <w:p w14:paraId="090CD8F5">
      <w:pPr>
        <w:pStyle w:val="17"/>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不具备采购文件规定资格条件的；</w:t>
      </w:r>
    </w:p>
    <w:p w14:paraId="1A2A4CC2">
      <w:pPr>
        <w:pStyle w:val="17"/>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中国政府采购网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（www.ccgp.gov.cn）列入失信被执行人、重大税收违法失信主体、政府采购</w:t>
      </w:r>
      <w:r>
        <w:rPr>
          <w:rFonts w:hint="eastAsia"/>
          <w:color w:val="000000" w:themeColor="text1"/>
          <w:highlight w:val="none"/>
          <w:lang w:eastAsia="zh-CN"/>
          <w14:textFill>
            <w14:solidFill>
              <w14:schemeClr w14:val="tx1"/>
            </w14:solidFill>
          </w14:textFill>
        </w:rPr>
        <w:t>政府采购严重违法失信行为记录名单</w:t>
      </w:r>
      <w:r>
        <w:rPr>
          <w:color w:val="000000" w:themeColor="text1"/>
          <w:highlight w:val="none"/>
          <w14:textFill>
            <w14:solidFill>
              <w14:schemeClr w14:val="tx1"/>
            </w14:solidFill>
          </w14:textFill>
        </w:rPr>
        <w:t>的。接受联合体的项目，两个以上的自然人、法人或者其他组织组成一个联合体，以一个供应商的身份共同参加采购活动的，联合体成员存在不良信用记录的，视同联合体存在不良应用记录；</w:t>
      </w:r>
    </w:p>
    <w:p w14:paraId="174A854D">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响应文件的符合性审查</w:t>
      </w:r>
    </w:p>
    <w:p w14:paraId="550BDAF5">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46A2A9E3">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的商务和技术要求。</w:t>
      </w:r>
    </w:p>
    <w:p w14:paraId="5B58018C">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67C7E8F8">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.2.2.4响应文件有下列情况之一的，在符合性审查时按照无效响应处理</w:t>
      </w:r>
    </w:p>
    <w:p w14:paraId="4B4B9A80">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未按照采购文件规定的要求密封、签署、盖章的；</w:t>
      </w:r>
    </w:p>
    <w:p w14:paraId="4BAC9E92">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不具备采购文件中规定的资格要求的；</w:t>
      </w:r>
    </w:p>
    <w:p w14:paraId="3FFDFD9C">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报价超过采购文件中规定的预算金额或者最高限价的；</w:t>
      </w:r>
    </w:p>
    <w:p w14:paraId="7E53C753">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响应文件含有采购人不能接受的附加条件的；</w:t>
      </w:r>
    </w:p>
    <w:p w14:paraId="0C487AF9">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响应文件不符合采购文件中规定的其它实质性要求的；</w:t>
      </w:r>
    </w:p>
    <w:p w14:paraId="3249B81A">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3335279E">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highlight w:val="none"/>
          <w14:textFill>
            <w14:solidFill>
              <w14:schemeClr w14:val="tx1"/>
            </w14:solidFill>
          </w14:textFill>
        </w:rPr>
        <w:t>1</w:t>
      </w:r>
      <w:r>
        <w:rPr>
          <w:b/>
          <w:color w:val="000000" w:themeColor="text1"/>
          <w:highlight w:val="none"/>
          <w14:textFill>
            <w14:solidFill>
              <w14:schemeClr w14:val="tx1"/>
            </w14:solidFill>
          </w14:textFill>
        </w:rPr>
        <w:t>9.10</w:t>
      </w:r>
      <w:r>
        <w:rPr>
          <w:rFonts w:hint="eastAsia"/>
          <w:b/>
          <w:color w:val="000000" w:themeColor="text1"/>
          <w:highlight w:val="none"/>
          <w14:textFill>
            <w14:solidFill>
              <w14:schemeClr w14:val="tx1"/>
            </w14:solidFill>
          </w14:textFill>
        </w:rPr>
        <w:t>条款</w:t>
      </w:r>
      <w:r>
        <w:rPr>
          <w:b/>
          <w:color w:val="000000" w:themeColor="text1"/>
          <w:highlight w:val="none"/>
          <w14:textFill>
            <w14:solidFill>
              <w14:schemeClr w14:val="tx1"/>
            </w14:solidFill>
          </w14:textFill>
        </w:rPr>
        <w:t>处理：</w:t>
      </w:r>
    </w:p>
    <w:p w14:paraId="72D5115D">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.2.2.6有下列情形之一的予以废标，同时将废标理由通知所有供应商</w:t>
      </w:r>
    </w:p>
    <w:p w14:paraId="67A7EEDB">
      <w:pPr>
        <w:pStyle w:val="17"/>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w:t>
      </w:r>
      <w:r>
        <w:rPr>
          <w:rFonts w:hint="eastAsia"/>
          <w:color w:val="000000" w:themeColor="text1"/>
          <w:highlight w:val="none"/>
          <w14:textFill>
            <w14:solidFill>
              <w14:schemeClr w14:val="tx1"/>
            </w14:solidFill>
          </w14:textFill>
        </w:rPr>
        <w:t>19.10</w:t>
      </w:r>
      <w:r>
        <w:rPr>
          <w:color w:val="000000" w:themeColor="text1"/>
          <w:highlight w:val="none"/>
          <w14:textFill>
            <w14:solidFill>
              <w14:schemeClr w14:val="tx1"/>
            </w14:solidFill>
          </w14:textFill>
        </w:rPr>
        <w:t>中规定的情形外，符合资格条件的供应商或者对采购文件作实质性响应的供应商不足三家的；</w:t>
      </w:r>
    </w:p>
    <w:p w14:paraId="1CB3B914">
      <w:pPr>
        <w:pStyle w:val="17"/>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出现影响采购公正的违法、违规行为的；</w:t>
      </w:r>
    </w:p>
    <w:p w14:paraId="0DC5A343">
      <w:pPr>
        <w:pStyle w:val="17"/>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因重大变故，采购任务取消的；</w:t>
      </w:r>
    </w:p>
    <w:p w14:paraId="4CD06A4D">
      <w:pPr>
        <w:pStyle w:val="17"/>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采购文件存在歧义、重大缺陷，或者采购文件内容违反国家有关强制性规定的；</w:t>
      </w:r>
    </w:p>
    <w:p w14:paraId="797CF476">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响应文件的进一步评审</w:t>
      </w:r>
    </w:p>
    <w:p w14:paraId="3FB33B46">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评审委员会将对确定为实质性响应的响应文件进行进一步评审，看其是否有计算上或累加上的算术错误，修正错误的原则如下：</w:t>
      </w:r>
    </w:p>
    <w:p w14:paraId="2FB36ABC">
      <w:pPr>
        <w:pStyle w:val="17"/>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如果用数字表示的金额和用文字表示的金额不一致时，应以文字表示的金额为准进行修正；</w:t>
      </w:r>
    </w:p>
    <w:p w14:paraId="02875176">
      <w:pPr>
        <w:pStyle w:val="17"/>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0C2FB537">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5F284B44">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414800B0">
      <w:pPr>
        <w:pStyle w:val="17"/>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15484F71">
      <w:pPr>
        <w:pStyle w:val="17"/>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评价。按照采购文件中规定的评审方法和标准，对资格性检查和符合性检查合格的响应文件进行</w:t>
      </w:r>
      <w:r>
        <w:rPr>
          <w:rFonts w:hint="eastAsia"/>
          <w:color w:val="000000" w:themeColor="text1"/>
          <w:highlight w:val="none"/>
          <w14:textFill>
            <w14:solidFill>
              <w14:schemeClr w14:val="tx1"/>
            </w14:solidFill>
          </w14:textFill>
        </w:rPr>
        <w:t>评价</w:t>
      </w:r>
      <w:r>
        <w:rPr>
          <w:color w:val="000000" w:themeColor="text1"/>
          <w:highlight w:val="none"/>
          <w14:textFill>
            <w14:solidFill>
              <w14:schemeClr w14:val="tx1"/>
            </w14:solidFill>
          </w14:textFill>
        </w:rPr>
        <w:t>。</w:t>
      </w:r>
    </w:p>
    <w:p w14:paraId="666B0011">
      <w:pPr>
        <w:pStyle w:val="17"/>
        <w:widowControl/>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评审方法和标准</w:t>
      </w:r>
    </w:p>
    <w:p w14:paraId="764A6746">
      <w:pPr>
        <w:pStyle w:val="17"/>
        <w:widowControl/>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采用综合评分法。即在响应文件满足采购文件全部实质性要求前提下，按照评审因素的量化指标评分。</w:t>
      </w:r>
    </w:p>
    <w:p w14:paraId="6A7685FD">
      <w:pPr>
        <w:pStyle w:val="17"/>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综合评分的主要因素是：价格、技术、服务、业绩、履约能力等。</w:t>
      </w:r>
    </w:p>
    <w:p w14:paraId="570F8B42">
      <w:pPr>
        <w:pStyle w:val="17"/>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评分标准详见文件第三章。</w:t>
      </w:r>
    </w:p>
    <w:p w14:paraId="4E768BD3">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确定成交供应商</w:t>
      </w:r>
    </w:p>
    <w:p w14:paraId="72CAA38E">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在综合</w:t>
      </w:r>
      <w:r>
        <w:rPr>
          <w:rFonts w:hint="eastAsia"/>
          <w:color w:val="000000" w:themeColor="text1"/>
          <w:highlight w:val="none"/>
          <w14:textFill>
            <w14:solidFill>
              <w14:schemeClr w14:val="tx1"/>
            </w14:solidFill>
          </w14:textFill>
        </w:rPr>
        <w:t>评审</w:t>
      </w:r>
      <w:r>
        <w:rPr>
          <w:color w:val="000000" w:themeColor="text1"/>
          <w:highlight w:val="none"/>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highlight w:val="none"/>
          <w:u w:val="single"/>
          <w14:textFill>
            <w14:solidFill>
              <w14:schemeClr w14:val="tx1"/>
            </w14:solidFill>
          </w14:textFill>
        </w:rPr>
        <w:t>（2）</w:t>
      </w:r>
      <w:r>
        <w:rPr>
          <w:color w:val="000000" w:themeColor="text1"/>
          <w:highlight w:val="none"/>
          <w14:textFill>
            <w14:solidFill>
              <w14:schemeClr w14:val="tx1"/>
            </w14:solidFill>
          </w14:textFill>
        </w:rPr>
        <w:t>种方式确定成交供应商</w:t>
      </w:r>
    </w:p>
    <w:p w14:paraId="1D44F2E9">
      <w:pPr>
        <w:pStyle w:val="17"/>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评审委员会直接确定排名第一的成交候选人为成交供应商；</w:t>
      </w:r>
    </w:p>
    <w:p w14:paraId="77BB34D0">
      <w:pPr>
        <w:pStyle w:val="17"/>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采购人项目单位在评审委员会推荐的成交候选人中按顺序确定成交供应商。</w:t>
      </w:r>
    </w:p>
    <w:p w14:paraId="4BB224A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57835FAC">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成交供应商确定之日起两个工作日内，将在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南京邮电大学校园网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发布公告，并向成交供应商发出《成交通知书》。</w:t>
      </w:r>
    </w:p>
    <w:p w14:paraId="1755C16C">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《成交通知书》对采购人和成交供应商具有同等法律效力。</w:t>
      </w:r>
    </w:p>
    <w:p w14:paraId="2EE21401">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《成交通知书》发出后，成交供应商无正当理由不与采购人签订合同的，应当依法承担法律责任。</w:t>
      </w:r>
    </w:p>
    <w:p w14:paraId="0F681267">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代理机构和评审委员会对未成交的供应商不作未成交原因的解释。</w:t>
      </w:r>
    </w:p>
    <w:p w14:paraId="737C47D1">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所有响应文件不论成交与否均不退回。</w:t>
      </w:r>
    </w:p>
    <w:p w14:paraId="7A1FD605">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编写评审报告</w:t>
      </w:r>
    </w:p>
    <w:p w14:paraId="7C77084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评审委员会根据全体评审成员签字的原始评审记录和评审结果编写评审报告。</w:t>
      </w:r>
    </w:p>
    <w:p w14:paraId="65235F6C">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评审过程的保密</w:t>
      </w:r>
    </w:p>
    <w:p w14:paraId="1E4C2BE1">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代理机构将采取必要措施，保证评审在严格保密的情况下进行。</w:t>
      </w:r>
    </w:p>
    <w:p w14:paraId="4E357028">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任何单位和个人不得非法干预、影响评审办法的确定，以及评审过程和结果。</w:t>
      </w:r>
    </w:p>
    <w:p w14:paraId="7A3F99D3">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凡是与审查、澄清、评价和比较响应的有关资料等，均不得向供应商及与评审无关的人员透露。</w:t>
      </w:r>
    </w:p>
    <w:p w14:paraId="18A67995">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签订合同</w:t>
      </w:r>
    </w:p>
    <w:p w14:paraId="6604FC87">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24.签订合同</w:t>
      </w:r>
    </w:p>
    <w:p w14:paraId="09FEA3AC">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131D8317">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2DCF5B35">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3E6ACBAA">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0961EBFD">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询问、质疑、投诉和诚实信用</w:t>
      </w:r>
    </w:p>
    <w:p w14:paraId="7CE9363D">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询问提出与答复</w:t>
      </w:r>
    </w:p>
    <w:p w14:paraId="74AFE98B">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、代理机构（以下简称被询问人）提出询问。</w:t>
      </w:r>
    </w:p>
    <w:p w14:paraId="3703ABE7">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189D1B8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51526DBA">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如供应商询问事项涉及依法应当保密的内容，被询问人不予答复，向供应商说明理由和依据。</w:t>
      </w:r>
    </w:p>
    <w:p w14:paraId="3288E5B1">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质疑提出与答复</w:t>
      </w:r>
    </w:p>
    <w:p w14:paraId="7118BD27">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、代理机构提出质疑。</w:t>
      </w:r>
    </w:p>
    <w:p w14:paraId="3BD7A5B6">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26.1.1供应商在规定质疑期内应一次性提出针对同一采购程序环节的质疑。</w:t>
      </w:r>
    </w:p>
    <w:p w14:paraId="26460DC4">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供应商知道或者应知其权益受到损害之日，是指：</w:t>
      </w:r>
    </w:p>
    <w:p w14:paraId="06A8EA83">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对可以质疑的采购文件提出质疑的，为收到采购文件之日或者采购文件公告期限届满之日；</w:t>
      </w:r>
    </w:p>
    <w:p w14:paraId="557D3AA1">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对采购过程提出质疑的，为各采购程序环节结束之日；</w:t>
      </w:r>
    </w:p>
    <w:p w14:paraId="1CE3956B">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对成交或者成交结果提出质疑的，为成交或者成交结果公告期限届满之日。</w:t>
      </w:r>
    </w:p>
    <w:p w14:paraId="0A88CC9C">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提出质疑的供应商应当是参与所质疑项目采购活动的供应商。潜在供应商已依法获取其可质疑的采购文件的，可以对该文件提出质疑。</w:t>
      </w:r>
    </w:p>
    <w:p w14:paraId="026DC34F">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供应商提出质疑应当提交质疑函和必要的证明材料。质疑函应当包括下列内容：</w:t>
      </w:r>
    </w:p>
    <w:p w14:paraId="689F33F8">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供应商的姓名或者名称、地址、邮编、联系人及联系电话；</w:t>
      </w:r>
    </w:p>
    <w:p w14:paraId="0B996DFC">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质疑项目的名称、编号；</w:t>
      </w:r>
    </w:p>
    <w:p w14:paraId="13BCF809">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具体、明确的质疑事项和与质疑事项相关的请求；</w:t>
      </w:r>
    </w:p>
    <w:p w14:paraId="77CA7033">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6C18A300">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必要的法律依据；</w:t>
      </w:r>
    </w:p>
    <w:p w14:paraId="36E4CC82">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提出质疑的日期。</w:t>
      </w:r>
    </w:p>
    <w:p w14:paraId="2814032A">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1658284B">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、代理机构不得拒收质疑供应商在规定质疑期内发出的质疑函。质疑函通过邮寄送达的，按交邮时间计算。逾期送达的，不予接收。</w:t>
      </w:r>
    </w:p>
    <w:p w14:paraId="31A1755B">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、代理机构不予受理，并书面告知理由：</w:t>
      </w:r>
    </w:p>
    <w:p w14:paraId="7D781B6D">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供应商不是参与所质疑项目采购活动的供应商或依法获取可质疑采购文件的潜在供应商；</w:t>
      </w:r>
    </w:p>
    <w:p w14:paraId="07EBFDC1">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潜在供应商所质疑事项均为采购文件以外的事项；</w:t>
      </w:r>
    </w:p>
    <w:p w14:paraId="7AB52647">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供应商提交质疑的时间已超过规定质疑期。</w:t>
      </w:r>
    </w:p>
    <w:p w14:paraId="7B1198F2">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质疑函未按规定签字、盖章，或代理人提出质疑未提交供应商签署的授权委托书，采购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、代理机构告知后，供应商或代理人未在规定质疑期内补正后提出的。</w:t>
      </w:r>
    </w:p>
    <w:p w14:paraId="3A436A5F">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其它不符合受理条件的情形。</w:t>
      </w:r>
    </w:p>
    <w:p w14:paraId="1565C012">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投诉提起与处理</w:t>
      </w:r>
    </w:p>
    <w:p w14:paraId="3DCF773E">
      <w:pPr>
        <w:pStyle w:val="17"/>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投诉提起</w:t>
      </w:r>
    </w:p>
    <w:p w14:paraId="1BC3E73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质疑供应商对代理机构的答复不满意，或者代理机构未在规定时间内作出答复的，可</w:t>
      </w:r>
      <w:r>
        <w:rPr>
          <w:rFonts w:hint="eastAsia"/>
          <w:color w:val="000000" w:themeColor="text1"/>
          <w:highlight w:val="none"/>
          <w14:textFill>
            <w14:solidFill>
              <w14:schemeClr w14:val="tx1"/>
            </w14:solidFill>
          </w14:textFill>
        </w:rPr>
        <w:t>可以在答复期满后10日内</w:t>
      </w:r>
      <w:r>
        <w:rPr>
          <w:color w:val="000000" w:themeColor="text1"/>
          <w:highlight w:val="none"/>
          <w14:textFill>
            <w14:solidFill>
              <w14:schemeClr w14:val="tx1"/>
            </w14:solidFill>
          </w14:textFill>
        </w:rPr>
        <w:t>向有关行政监督部门提起投诉。</w:t>
      </w:r>
    </w:p>
    <w:p w14:paraId="7FF08377">
      <w:pPr>
        <w:pStyle w:val="17"/>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供应商投诉时，应当提交投诉书和必要的证明材料。投诉书应当包括下列内容：</w:t>
      </w:r>
    </w:p>
    <w:p w14:paraId="3B20A0CE">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投诉人和被投诉人的姓名或者名称、通讯地址、邮编、联系人及联系电话；</w:t>
      </w:r>
    </w:p>
    <w:p w14:paraId="630A8DA1">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质疑和质疑答复情况说明及相关证明材料；</w:t>
      </w:r>
    </w:p>
    <w:p w14:paraId="2973682A">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具体、明确的投诉事项和与投诉事项相关的投诉请求；</w:t>
      </w:r>
    </w:p>
    <w:p w14:paraId="2B045D2F">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47C94D22">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法律依据；</w:t>
      </w:r>
    </w:p>
    <w:p w14:paraId="2AB7CCEE">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提起投诉的日期。</w:t>
      </w:r>
    </w:p>
    <w:p w14:paraId="1DE7E1F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55A0F768">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诚实信用</w:t>
      </w:r>
    </w:p>
    <w:p w14:paraId="31798987">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供应商之间不得相互串通响应报价，不得妨碍其他供应商的公平竞争，不得损害采购人和其他供应商的合法权益。</w:t>
      </w:r>
    </w:p>
    <w:p w14:paraId="34F26817">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3A201A4F">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0DF75D63">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供应商不得虚假承诺，否则，按照提供虚假材料谋取成交处理。</w:t>
      </w:r>
    </w:p>
    <w:p w14:paraId="1D88FE35">
      <w:pPr>
        <w:pStyle w:val="2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第三章  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w:t>
      </w:r>
    </w:p>
    <w:p w14:paraId="2B8D0B8D">
      <w:pPr>
        <w:pStyle w:val="17"/>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评审方法与</w:t>
      </w:r>
      <w:r>
        <w:rPr>
          <w:rFonts w:hint="eastAsia"/>
          <w:b/>
          <w:color w:val="000000" w:themeColor="text1"/>
          <w:highlight w:val="none"/>
          <w14:textFill>
            <w14:solidFill>
              <w14:schemeClr w14:val="tx1"/>
            </w14:solidFill>
          </w14:textFill>
        </w:rPr>
        <w:t>确定成交供应商</w:t>
      </w:r>
      <w:r>
        <w:rPr>
          <w:b/>
          <w:color w:val="000000" w:themeColor="text1"/>
          <w:highlight w:val="none"/>
          <w14:textFill>
            <w14:solidFill>
              <w14:schemeClr w14:val="tx1"/>
            </w14:solidFill>
          </w14:textFill>
        </w:rPr>
        <w:t>原则</w:t>
      </w:r>
    </w:p>
    <w:p w14:paraId="735B8942">
      <w:pPr>
        <w:pStyle w:val="17"/>
        <w:spacing w:line="360" w:lineRule="auto"/>
        <w:ind w:firstLine="480"/>
        <w:rPr>
          <w:rFonts w:ascii="宋体" w:hAnsi="宋体" w:cs="宋体"/>
          <w:color w:val="000000"/>
          <w:highlight w:val="none"/>
        </w:rPr>
      </w:pPr>
      <w:r>
        <w:rPr>
          <w:rFonts w:hint="eastAsia" w:ascii="宋体" w:hAnsi="宋体" w:cs="宋体"/>
          <w:color w:val="000000"/>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75E462AD">
      <w:pPr>
        <w:pStyle w:val="17"/>
        <w:spacing w:line="360" w:lineRule="auto"/>
        <w:ind w:firstLine="480"/>
        <w:rPr>
          <w:rFonts w:ascii="宋体" w:hAnsi="宋体" w:cs="宋体"/>
          <w:highlight w:val="none"/>
        </w:rPr>
      </w:pPr>
      <w:r>
        <w:rPr>
          <w:rFonts w:hint="eastAsia" w:ascii="宋体" w:hAnsi="宋体" w:cs="宋体"/>
          <w:color w:val="000000"/>
          <w:highlight w:val="none"/>
        </w:rPr>
        <w:t>评审委员会根据供应商总得分由高到低的顺序推荐前三名作为成交候选人。总得分相同的，按响应报价由低到高顺序排列；总得分及响应报价相同的，总得分及响应报价相同的，由评审委员会按照评审因素的量化指标评审得分最高的供应商为排名第一的成交候选人。</w:t>
      </w:r>
    </w:p>
    <w:p w14:paraId="28022211">
      <w:pPr>
        <w:pStyle w:val="17"/>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评分标准</w:t>
      </w:r>
    </w:p>
    <w:p w14:paraId="410013D9">
      <w:pPr>
        <w:spacing w:line="360" w:lineRule="auto"/>
        <w:rPr>
          <w:rFonts w:hint="eastAsia" w:ascii="宋体" w:hAnsi="宋体"/>
          <w:b/>
          <w:bCs/>
          <w:highlight w:val="none"/>
        </w:rPr>
      </w:pPr>
      <w:r>
        <w:rPr>
          <w:rFonts w:hint="eastAsia" w:ascii="宋体" w:hAnsi="宋体"/>
          <w:b/>
          <w:bCs/>
          <w:highlight w:val="none"/>
        </w:rPr>
        <w:t>2.1初步评审</w:t>
      </w:r>
    </w:p>
    <w:tbl>
      <w:tblPr>
        <w:tblStyle w:val="45"/>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01"/>
        <w:gridCol w:w="2615"/>
        <w:gridCol w:w="5660"/>
      </w:tblGrid>
      <w:tr w14:paraId="12B0C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blHeader/>
        </w:trPr>
        <w:tc>
          <w:tcPr>
            <w:tcW w:w="20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F4289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评审因素</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C1E2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评审标准</w:t>
            </w:r>
          </w:p>
        </w:tc>
      </w:tr>
      <w:tr w14:paraId="64B23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blHeader/>
        </w:trPr>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3D9E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资格评审</w:t>
            </w: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0AB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基本要求</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99EA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法人或者其他组织的营业执照等证明文件，自然人的身份证明，</w:t>
            </w:r>
            <w:r>
              <w:rPr>
                <w:rStyle w:val="286"/>
                <w:highlight w:val="none"/>
                <w:lang w:val="en-US" w:eastAsia="zh-CN" w:bidi="ar"/>
              </w:rPr>
              <w:t>提供相关证明材料加盖公章</w:t>
            </w:r>
          </w:p>
        </w:tc>
      </w:tr>
      <w:tr w14:paraId="3A447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DABB9">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910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财务状况</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2C943">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具有良好的商业信誉和健全的财务会计制度（2025年度的审计报告复印件加盖公章或响应截止时间前半年内（</w:t>
            </w:r>
            <w:r>
              <w:rPr>
                <w:rFonts w:hint="eastAsia" w:ascii="宋体" w:hAnsi="宋体" w:cs="宋体"/>
                <w:i w:val="0"/>
                <w:iCs w:val="0"/>
                <w:color w:val="000000"/>
                <w:kern w:val="0"/>
                <w:sz w:val="21"/>
                <w:szCs w:val="21"/>
                <w:highlight w:val="none"/>
                <w:u w:val="none"/>
                <w:lang w:val="en-US" w:eastAsia="zh-CN" w:bidi="ar"/>
              </w:rPr>
              <w:t>2026年2月至2026年7月</w:t>
            </w:r>
            <w:r>
              <w:rPr>
                <w:rFonts w:hint="eastAsia" w:ascii="宋体" w:hAnsi="宋体" w:eastAsia="宋体" w:cs="宋体"/>
                <w:i w:val="0"/>
                <w:iCs w:val="0"/>
                <w:color w:val="000000"/>
                <w:kern w:val="0"/>
                <w:sz w:val="21"/>
                <w:szCs w:val="21"/>
                <w:highlight w:val="none"/>
                <w:u w:val="none"/>
                <w:lang w:val="en-US" w:eastAsia="zh-CN" w:bidi="ar"/>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r>
              <w:rPr>
                <w:rStyle w:val="286"/>
                <w:highlight w:val="none"/>
                <w:lang w:val="en-US" w:eastAsia="zh-CN" w:bidi="ar"/>
              </w:rPr>
              <w:t>提供证明材料加盖公章</w:t>
            </w:r>
          </w:p>
        </w:tc>
      </w:tr>
      <w:tr w14:paraId="4399A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29B23">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805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技术能力声明</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D5F10">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具有履行合同所必需的设备和专业技术能力（根据项目需求提供履行合同所必需的设备和专业技术能力的声明函或证明材料）</w:t>
            </w:r>
            <w:r>
              <w:rPr>
                <w:rStyle w:val="286"/>
                <w:highlight w:val="none"/>
                <w:lang w:val="en-US" w:eastAsia="zh-CN" w:bidi="ar"/>
              </w:rPr>
              <w:t>提供原件加盖公章</w:t>
            </w:r>
          </w:p>
        </w:tc>
      </w:tr>
      <w:tr w14:paraId="17DB5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2023C">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51D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纳税情况</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E01B5">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有依法缴纳税收和社会保障资金的良好记录（提供响应截止时间前半年内（</w:t>
            </w:r>
            <w:r>
              <w:rPr>
                <w:rFonts w:hint="eastAsia" w:ascii="宋体" w:hAnsi="宋体" w:cs="宋体"/>
                <w:i w:val="0"/>
                <w:iCs w:val="0"/>
                <w:color w:val="000000"/>
                <w:kern w:val="0"/>
                <w:sz w:val="21"/>
                <w:szCs w:val="21"/>
                <w:highlight w:val="none"/>
                <w:u w:val="none"/>
                <w:lang w:val="en-US" w:eastAsia="zh-CN" w:bidi="ar"/>
              </w:rPr>
              <w:t>2026年2月至2026年7月</w:t>
            </w:r>
            <w:r>
              <w:rPr>
                <w:rFonts w:hint="eastAsia" w:ascii="宋体" w:hAnsi="宋体" w:eastAsia="宋体" w:cs="宋体"/>
                <w:i w:val="0"/>
                <w:iCs w:val="0"/>
                <w:color w:val="000000"/>
                <w:kern w:val="0"/>
                <w:sz w:val="21"/>
                <w:szCs w:val="21"/>
                <w:highlight w:val="none"/>
                <w:u w:val="none"/>
                <w:lang w:val="en-US" w:eastAsia="zh-CN" w:bidi="ar"/>
              </w:rPr>
              <w:t>）至少一个月缴纳税收（企业代缴的个人所得税除外）的凭据复印件加盖公章，并提供缴纳社会保险的凭据（专用收据或社会保险缴纳清单）复印件加盖公章，根据国家相关政策免缴或迟缴的需提供相关证明材料）</w:t>
            </w:r>
            <w:r>
              <w:rPr>
                <w:rStyle w:val="287"/>
                <w:highlight w:val="none"/>
                <w:lang w:val="en-US" w:eastAsia="zh-CN" w:bidi="ar"/>
              </w:rPr>
              <w:t>。</w:t>
            </w:r>
            <w:r>
              <w:rPr>
                <w:rStyle w:val="286"/>
                <w:highlight w:val="none"/>
                <w:lang w:val="en-US" w:eastAsia="zh-CN" w:bidi="ar"/>
              </w:rPr>
              <w:t>证明材料提供复印件加盖公章</w:t>
            </w:r>
          </w:p>
        </w:tc>
      </w:tr>
      <w:tr w14:paraId="6FD6D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097DC">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A26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重大违法记录书面声明</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91949">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参加本次采购活动前三年内，在经营活动中没有重大违法记录（提供参加本次采购活动前3年内在经营活动中没有重大违法记录的书面声明）；</w:t>
            </w:r>
            <w:r>
              <w:rPr>
                <w:rStyle w:val="286"/>
                <w:highlight w:val="none"/>
                <w:lang w:val="en-US" w:eastAsia="zh-CN" w:bidi="ar"/>
              </w:rPr>
              <w:t>提供原件加盖公章</w:t>
            </w:r>
          </w:p>
        </w:tc>
      </w:tr>
      <w:tr w14:paraId="67B28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C126B">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1A6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非联合体要求</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A2922">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本项目不接受联合体</w:t>
            </w:r>
            <w:r>
              <w:rPr>
                <w:rFonts w:hint="eastAsia" w:ascii="宋体" w:hAnsi="宋体" w:cs="宋体"/>
                <w:i w:val="0"/>
                <w:iCs w:val="0"/>
                <w:color w:val="000000"/>
                <w:kern w:val="0"/>
                <w:sz w:val="21"/>
                <w:szCs w:val="21"/>
                <w:highlight w:val="none"/>
                <w:u w:val="none"/>
                <w:lang w:val="en-US" w:eastAsia="zh-CN" w:bidi="ar"/>
              </w:rPr>
              <w:t>响应</w:t>
            </w:r>
            <w:r>
              <w:rPr>
                <w:rFonts w:hint="eastAsia" w:ascii="宋体" w:hAnsi="宋体" w:eastAsia="宋体" w:cs="宋体"/>
                <w:i w:val="0"/>
                <w:iCs w:val="0"/>
                <w:color w:val="000000"/>
                <w:kern w:val="0"/>
                <w:sz w:val="21"/>
                <w:szCs w:val="21"/>
                <w:highlight w:val="none"/>
                <w:u w:val="none"/>
                <w:lang w:val="en-US" w:eastAsia="zh-CN" w:bidi="ar"/>
              </w:rPr>
              <w:t>。</w:t>
            </w:r>
          </w:p>
        </w:tc>
      </w:tr>
      <w:tr w14:paraId="70DF4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453A4">
            <w:pPr>
              <w:jc w:val="center"/>
              <w:rPr>
                <w:rFonts w:hint="eastAsia" w:ascii="宋体" w:hAnsi="宋体" w:eastAsia="宋体" w:cs="宋体"/>
                <w:i w:val="0"/>
                <w:iCs w:val="0"/>
                <w:color w:val="000000"/>
                <w:sz w:val="21"/>
                <w:szCs w:val="21"/>
                <w:highlight w:val="none"/>
                <w:u w:val="none"/>
              </w:rPr>
            </w:pPr>
          </w:p>
        </w:tc>
        <w:tc>
          <w:tcPr>
            <w:tcW w:w="13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C05B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不得参与响应的情形</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FDC42">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供应商单位负责人为同一人或者存在直接控股、管理关系的不同供应商，不得参加同一合同项下的采购或采购活动。</w:t>
            </w:r>
          </w:p>
        </w:tc>
      </w:tr>
      <w:tr w14:paraId="60955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836A7">
            <w:pPr>
              <w:jc w:val="center"/>
              <w:rPr>
                <w:rFonts w:hint="eastAsia" w:ascii="宋体" w:hAnsi="宋体" w:eastAsia="宋体" w:cs="宋体"/>
                <w:i w:val="0"/>
                <w:iCs w:val="0"/>
                <w:color w:val="000000"/>
                <w:sz w:val="21"/>
                <w:szCs w:val="21"/>
                <w:highlight w:val="none"/>
                <w:u w:val="none"/>
              </w:rPr>
            </w:pPr>
          </w:p>
        </w:tc>
        <w:tc>
          <w:tcPr>
            <w:tcW w:w="1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C1653">
            <w:pPr>
              <w:jc w:val="center"/>
              <w:rPr>
                <w:rFonts w:hint="eastAsia" w:ascii="宋体" w:hAnsi="宋体" w:eastAsia="宋体" w:cs="宋体"/>
                <w:i w:val="0"/>
                <w:iCs w:val="0"/>
                <w:color w:val="000000"/>
                <w:sz w:val="21"/>
                <w:szCs w:val="21"/>
                <w:highlight w:val="none"/>
                <w:u w:val="none"/>
              </w:rPr>
            </w:pP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64EB3">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凡为本项目提供整体设计、规范编制或者项目管理、检测等服务的供应商，不得再参加本项目的采购或采购活动。</w:t>
            </w:r>
          </w:p>
        </w:tc>
      </w:tr>
      <w:tr w14:paraId="3E11A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62A72">
            <w:pPr>
              <w:jc w:val="center"/>
              <w:rPr>
                <w:rFonts w:hint="eastAsia" w:ascii="宋体" w:hAnsi="宋体" w:eastAsia="宋体" w:cs="宋体"/>
                <w:i w:val="0"/>
                <w:iCs w:val="0"/>
                <w:color w:val="000000"/>
                <w:sz w:val="21"/>
                <w:szCs w:val="21"/>
                <w:highlight w:val="none"/>
                <w:u w:val="none"/>
              </w:rPr>
            </w:pPr>
          </w:p>
        </w:tc>
        <w:tc>
          <w:tcPr>
            <w:tcW w:w="1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14BE6">
            <w:pPr>
              <w:jc w:val="center"/>
              <w:rPr>
                <w:rFonts w:hint="eastAsia" w:ascii="宋体" w:hAnsi="宋体" w:eastAsia="宋体" w:cs="宋体"/>
                <w:i w:val="0"/>
                <w:iCs w:val="0"/>
                <w:color w:val="000000"/>
                <w:sz w:val="21"/>
                <w:szCs w:val="21"/>
                <w:highlight w:val="none"/>
                <w:u w:val="none"/>
              </w:rPr>
            </w:pP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42005">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供应商被“信用中国”网站（www.creditchina.gov.cn）列入失信被执行人、重大税收违法失信主体、</w:t>
            </w:r>
            <w:r>
              <w:rPr>
                <w:rFonts w:hint="eastAsia" w:ascii="宋体" w:hAnsi="宋体" w:cs="宋体"/>
                <w:i w:val="0"/>
                <w:iCs w:val="0"/>
                <w:color w:val="000000"/>
                <w:kern w:val="0"/>
                <w:sz w:val="21"/>
                <w:szCs w:val="21"/>
                <w:highlight w:val="none"/>
                <w:u w:val="none"/>
                <w:lang w:val="en-US" w:eastAsia="zh-CN" w:bidi="ar"/>
              </w:rPr>
              <w:t>政府采购严重违法失信行为记录名单</w:t>
            </w:r>
            <w:r>
              <w:rPr>
                <w:rFonts w:hint="eastAsia" w:ascii="宋体" w:hAnsi="宋体" w:eastAsia="宋体" w:cs="宋体"/>
                <w:i w:val="0"/>
                <w:iCs w:val="0"/>
                <w:color w:val="000000"/>
                <w:kern w:val="0"/>
                <w:sz w:val="21"/>
                <w:szCs w:val="21"/>
                <w:highlight w:val="none"/>
                <w:u w:val="none"/>
                <w:lang w:val="en-US" w:eastAsia="zh-CN" w:bidi="ar"/>
              </w:rPr>
              <w:t>。</w:t>
            </w:r>
          </w:p>
        </w:tc>
      </w:tr>
      <w:tr w14:paraId="53FA2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tblHeader/>
        </w:trPr>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13B4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符合性评审</w:t>
            </w:r>
            <w:bookmarkStart w:id="18" w:name="_GoBack"/>
            <w:bookmarkEnd w:id="18"/>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FBD012D">
            <w:pPr>
              <w:keepNext w:val="0"/>
              <w:keepLines w:val="0"/>
              <w:widowControl/>
              <w:suppressLineNumbers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供应商名称</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9A8A04D">
            <w:pPr>
              <w:keepNext w:val="0"/>
              <w:keepLines w:val="0"/>
              <w:widowControl/>
              <w:suppressLineNumbers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【与营业执照、资质证书一致】</w:t>
            </w:r>
          </w:p>
        </w:tc>
      </w:tr>
      <w:tr w14:paraId="66AB9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76A49">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CC445FC">
            <w:pPr>
              <w:keepNext w:val="0"/>
              <w:keepLines w:val="0"/>
              <w:widowControl/>
              <w:suppressLineNumbers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响应文件签字盖章</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BD255D8">
            <w:pPr>
              <w:keepNext w:val="0"/>
              <w:keepLines w:val="0"/>
              <w:widowControl/>
              <w:suppressLineNumbers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【有法定代表人或其委托代理人签字或加盖单位公章】</w:t>
            </w:r>
          </w:p>
        </w:tc>
      </w:tr>
      <w:tr w14:paraId="44E02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B91AE">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B64AB4B">
            <w:pPr>
              <w:keepNext w:val="0"/>
              <w:keepLines w:val="0"/>
              <w:widowControl/>
              <w:suppressLineNumbers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法定代表人授权书</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DD41E79">
            <w:pPr>
              <w:keepNext w:val="0"/>
              <w:keepLines w:val="0"/>
              <w:widowControl/>
              <w:suppressLineNumbers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【被授权人身份证复印件与法定代表人授权委托书一致】</w:t>
            </w:r>
          </w:p>
        </w:tc>
      </w:tr>
      <w:tr w14:paraId="2521E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43B2E">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C3EA211">
            <w:pPr>
              <w:keepNext w:val="0"/>
              <w:keepLines w:val="0"/>
              <w:widowControl/>
              <w:suppressLineNumbers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响应文件格式</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A80469E">
            <w:pPr>
              <w:keepNext w:val="0"/>
              <w:keepLines w:val="0"/>
              <w:widowControl/>
              <w:suppressLineNumbers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【按照比选文件规定的格式、内容填写，字迹清晰可辨】</w:t>
            </w:r>
          </w:p>
        </w:tc>
      </w:tr>
      <w:tr w14:paraId="39466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35BE3">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A1F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响应有效期</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F57FE">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90日历天。</w:t>
            </w:r>
          </w:p>
        </w:tc>
      </w:tr>
      <w:tr w14:paraId="2D434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AD339">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AC6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响应报价</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C8624">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唯一报价且满足响应一览表要求。</w:t>
            </w:r>
          </w:p>
        </w:tc>
      </w:tr>
      <w:tr w14:paraId="29C68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9EE01">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883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商务偏离</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046F3">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满足商务条款偏离表要求。</w:t>
            </w:r>
          </w:p>
        </w:tc>
      </w:tr>
      <w:tr w14:paraId="2F964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A50AF">
            <w:pPr>
              <w:jc w:val="center"/>
              <w:rPr>
                <w:rFonts w:hint="eastAsia" w:ascii="宋体" w:hAnsi="宋体" w:eastAsia="宋体" w:cs="宋体"/>
                <w:i w:val="0"/>
                <w:iCs w:val="0"/>
                <w:color w:val="000000"/>
                <w:sz w:val="21"/>
                <w:szCs w:val="21"/>
                <w:highlight w:val="none"/>
                <w:u w:val="none"/>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AF7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技术偏离</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2A4AE">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满足技术条款偏离表要求。</w:t>
            </w:r>
          </w:p>
        </w:tc>
      </w:tr>
    </w:tbl>
    <w:p w14:paraId="518B4293">
      <w:pPr>
        <w:spacing w:line="360" w:lineRule="auto"/>
        <w:rPr>
          <w:rFonts w:hint="eastAsia" w:ascii="宋体" w:hAnsi="宋体"/>
          <w:b/>
          <w:bCs/>
          <w:highlight w:val="none"/>
        </w:rPr>
      </w:pPr>
    </w:p>
    <w:p w14:paraId="3577B11C">
      <w:pPr>
        <w:spacing w:before="360" w:beforeLines="150" w:line="360" w:lineRule="auto"/>
        <w:rPr>
          <w:rFonts w:ascii="宋体" w:hAnsi="宋体"/>
          <w:sz w:val="21"/>
          <w:szCs w:val="21"/>
          <w:highlight w:val="none"/>
        </w:rPr>
      </w:pPr>
      <w:r>
        <w:rPr>
          <w:rFonts w:ascii="宋体" w:hAnsi="宋体"/>
          <w:b/>
          <w:bCs/>
          <w:highlight w:val="none"/>
        </w:rPr>
        <w:t>2.2详细评审</w:t>
      </w:r>
    </w:p>
    <w:tbl>
      <w:tblPr>
        <w:tblStyle w:val="45"/>
        <w:tblW w:w="5084" w:type="pct"/>
        <w:jc w:val="center"/>
        <w:tblLayout w:type="autofit"/>
        <w:tblCellMar>
          <w:top w:w="0" w:type="dxa"/>
          <w:left w:w="108" w:type="dxa"/>
          <w:bottom w:w="0" w:type="dxa"/>
          <w:right w:w="108" w:type="dxa"/>
        </w:tblCellMar>
      </w:tblPr>
      <w:tblGrid>
        <w:gridCol w:w="459"/>
        <w:gridCol w:w="1123"/>
        <w:gridCol w:w="7580"/>
        <w:gridCol w:w="685"/>
      </w:tblGrid>
      <w:tr w14:paraId="7F349553">
        <w:tblPrEx>
          <w:tblCellMar>
            <w:top w:w="0" w:type="dxa"/>
            <w:left w:w="108" w:type="dxa"/>
            <w:bottom w:w="0" w:type="dxa"/>
            <w:right w:w="108" w:type="dxa"/>
          </w:tblCellMar>
        </w:tblPrEx>
        <w:trPr>
          <w:trHeight w:val="278" w:hRule="atLeast"/>
          <w:jc w:val="center"/>
        </w:trPr>
        <w:tc>
          <w:tcPr>
            <w:tcW w:w="233" w:type="pct"/>
            <w:tcBorders>
              <w:top w:val="single" w:color="auto" w:sz="4" w:space="0"/>
              <w:left w:val="single" w:color="auto" w:sz="4" w:space="0"/>
              <w:bottom w:val="single" w:color="auto" w:sz="4" w:space="0"/>
              <w:right w:val="single" w:color="auto" w:sz="4" w:space="0"/>
            </w:tcBorders>
            <w:vAlign w:val="center"/>
          </w:tcPr>
          <w:p w14:paraId="2D620DC8">
            <w:pPr>
              <w:widowControl/>
              <w:jc w:val="center"/>
              <w:rPr>
                <w:rFonts w:ascii="宋体" w:hAnsi="宋体" w:cs="宋体"/>
                <w:b/>
                <w:bCs/>
                <w:highlight w:val="none"/>
              </w:rPr>
            </w:pPr>
            <w:bookmarkStart w:id="6" w:name="_Hlk202345348"/>
            <w:r>
              <w:rPr>
                <w:rFonts w:hint="eastAsia" w:ascii="宋体" w:hAnsi="宋体" w:cs="宋体"/>
                <w:b/>
                <w:bCs/>
                <w:highlight w:val="none"/>
              </w:rPr>
              <w:t>序号</w:t>
            </w:r>
          </w:p>
        </w:tc>
        <w:tc>
          <w:tcPr>
            <w:tcW w:w="570" w:type="pct"/>
            <w:tcBorders>
              <w:top w:val="single" w:color="auto" w:sz="4" w:space="0"/>
              <w:left w:val="nil"/>
              <w:bottom w:val="single" w:color="auto" w:sz="4" w:space="0"/>
              <w:right w:val="single" w:color="auto" w:sz="4" w:space="0"/>
            </w:tcBorders>
            <w:vAlign w:val="center"/>
          </w:tcPr>
          <w:p w14:paraId="1238B099">
            <w:pPr>
              <w:widowControl/>
              <w:jc w:val="center"/>
              <w:rPr>
                <w:rFonts w:ascii="宋体" w:hAnsi="宋体" w:cs="宋体"/>
                <w:b/>
                <w:bCs/>
                <w:highlight w:val="none"/>
              </w:rPr>
            </w:pPr>
            <w:r>
              <w:rPr>
                <w:rFonts w:hint="eastAsia" w:ascii="宋体" w:hAnsi="宋体" w:cs="宋体"/>
                <w:b/>
                <w:bCs/>
                <w:highlight w:val="none"/>
              </w:rPr>
              <w:t>评分因素</w:t>
            </w:r>
          </w:p>
        </w:tc>
        <w:tc>
          <w:tcPr>
            <w:tcW w:w="3848" w:type="pct"/>
            <w:tcBorders>
              <w:top w:val="single" w:color="auto" w:sz="4" w:space="0"/>
              <w:left w:val="nil"/>
              <w:bottom w:val="single" w:color="auto" w:sz="4" w:space="0"/>
              <w:right w:val="single" w:color="auto" w:sz="4" w:space="0"/>
            </w:tcBorders>
            <w:vAlign w:val="center"/>
          </w:tcPr>
          <w:p w14:paraId="409083EE">
            <w:pPr>
              <w:widowControl/>
              <w:jc w:val="center"/>
              <w:rPr>
                <w:rFonts w:ascii="宋体" w:hAnsi="宋体" w:cs="宋体"/>
                <w:b/>
                <w:bCs/>
                <w:highlight w:val="none"/>
              </w:rPr>
            </w:pPr>
            <w:r>
              <w:rPr>
                <w:rFonts w:hint="eastAsia" w:ascii="宋体" w:hAnsi="宋体" w:cs="宋体"/>
                <w:b/>
                <w:bCs/>
                <w:highlight w:val="none"/>
              </w:rPr>
              <w:t>评分标准</w:t>
            </w:r>
          </w:p>
        </w:tc>
        <w:tc>
          <w:tcPr>
            <w:tcW w:w="348" w:type="pct"/>
            <w:tcBorders>
              <w:top w:val="single" w:color="auto" w:sz="4" w:space="0"/>
              <w:left w:val="nil"/>
              <w:bottom w:val="single" w:color="auto" w:sz="4" w:space="0"/>
              <w:right w:val="single" w:color="auto" w:sz="4" w:space="0"/>
            </w:tcBorders>
            <w:vAlign w:val="center"/>
          </w:tcPr>
          <w:p w14:paraId="19B77202">
            <w:pPr>
              <w:widowControl/>
              <w:jc w:val="center"/>
              <w:rPr>
                <w:rFonts w:ascii="宋体" w:hAnsi="宋体" w:cs="宋体"/>
                <w:b/>
                <w:bCs/>
                <w:highlight w:val="none"/>
              </w:rPr>
            </w:pPr>
            <w:r>
              <w:rPr>
                <w:rFonts w:hint="eastAsia" w:ascii="宋体" w:hAnsi="宋体" w:cs="宋体"/>
                <w:b/>
                <w:bCs/>
                <w:highlight w:val="none"/>
              </w:rPr>
              <w:t>分值</w:t>
            </w:r>
          </w:p>
        </w:tc>
      </w:tr>
      <w:tr w14:paraId="6ACC86E3">
        <w:tblPrEx>
          <w:tblCellMar>
            <w:top w:w="0" w:type="dxa"/>
            <w:left w:w="108" w:type="dxa"/>
            <w:bottom w:w="0" w:type="dxa"/>
            <w:right w:w="108" w:type="dxa"/>
          </w:tblCellMar>
        </w:tblPrEx>
        <w:trPr>
          <w:trHeight w:val="280" w:hRule="atLeast"/>
          <w:tblHeader/>
          <w:jc w:val="center"/>
        </w:trPr>
        <w:tc>
          <w:tcPr>
            <w:tcW w:w="233" w:type="pct"/>
            <w:tcBorders>
              <w:top w:val="single" w:color="auto" w:sz="4" w:space="0"/>
              <w:left w:val="single" w:color="auto" w:sz="4" w:space="0"/>
              <w:bottom w:val="single" w:color="auto" w:sz="4" w:space="0"/>
              <w:right w:val="single" w:color="auto" w:sz="4" w:space="0"/>
            </w:tcBorders>
            <w:shd w:val="clear" w:color="auto" w:fill="auto"/>
            <w:vAlign w:val="center"/>
          </w:tcPr>
          <w:p w14:paraId="08BB0D9F">
            <w:pPr>
              <w:widowControl/>
              <w:adjustRightInd w:val="0"/>
              <w:snapToGrid w:val="0"/>
              <w:spacing w:line="360" w:lineRule="auto"/>
              <w:jc w:val="center"/>
              <w:rPr>
                <w:rFonts w:hint="eastAsia" w:ascii="宋体" w:hAnsi="宋体"/>
                <w:i w:val="0"/>
                <w:iCs w:val="0"/>
                <w:szCs w:val="21"/>
                <w:highlight w:val="none"/>
                <w:lang w:val="en-US" w:eastAsia="zh-CN"/>
              </w:rPr>
            </w:pPr>
          </w:p>
          <w:p w14:paraId="3047859E">
            <w:pPr>
              <w:widowControl/>
              <w:adjustRightInd w:val="0"/>
              <w:snapToGrid w:val="0"/>
              <w:spacing w:line="360" w:lineRule="auto"/>
              <w:jc w:val="center"/>
              <w:rPr>
                <w:rFonts w:hint="eastAsia" w:ascii="宋体" w:hAnsi="宋体"/>
                <w:i w:val="0"/>
                <w:iCs w:val="0"/>
                <w:szCs w:val="21"/>
                <w:highlight w:val="none"/>
                <w:lang w:val="en-US" w:eastAsia="zh-CN"/>
              </w:rPr>
            </w:pPr>
            <w:r>
              <w:rPr>
                <w:rFonts w:hint="eastAsia" w:ascii="宋体" w:hAnsi="宋体"/>
                <w:i w:val="0"/>
                <w:iCs w:val="0"/>
                <w:szCs w:val="21"/>
                <w:highlight w:val="none"/>
                <w:lang w:val="en-US" w:eastAsia="zh-CN"/>
              </w:rPr>
              <w:t>1</w:t>
            </w:r>
          </w:p>
          <w:p w14:paraId="5AF54F9E">
            <w:pPr>
              <w:widowControl/>
              <w:adjustRightInd w:val="0"/>
              <w:snapToGrid w:val="0"/>
              <w:spacing w:line="360" w:lineRule="auto"/>
              <w:jc w:val="center"/>
              <w:rPr>
                <w:rFonts w:hint="eastAsia" w:ascii="宋体" w:hAnsi="宋体"/>
                <w:i w:val="0"/>
                <w:iCs w:val="0"/>
                <w:szCs w:val="21"/>
                <w:highlight w:val="none"/>
                <w:lang w:val="en-US" w:eastAsia="zh-CN"/>
              </w:rPr>
            </w:pPr>
          </w:p>
        </w:tc>
        <w:tc>
          <w:tcPr>
            <w:tcW w:w="570" w:type="pct"/>
            <w:tcBorders>
              <w:top w:val="single" w:color="auto" w:sz="4" w:space="0"/>
              <w:left w:val="single" w:color="auto" w:sz="4" w:space="0"/>
              <w:bottom w:val="single" w:color="auto" w:sz="4" w:space="0"/>
              <w:right w:val="single" w:color="auto" w:sz="4" w:space="0"/>
            </w:tcBorders>
            <w:shd w:val="clear" w:color="auto" w:fill="auto"/>
            <w:vAlign w:val="center"/>
          </w:tcPr>
          <w:p w14:paraId="59427FD2">
            <w:pPr>
              <w:widowControl/>
              <w:adjustRightInd w:val="0"/>
              <w:snapToGrid w:val="0"/>
              <w:spacing w:line="360" w:lineRule="auto"/>
              <w:jc w:val="center"/>
              <w:rPr>
                <w:rFonts w:hint="eastAsia" w:ascii="宋体" w:hAnsi="宋体"/>
                <w:i w:val="0"/>
                <w:iCs w:val="0"/>
                <w:szCs w:val="21"/>
                <w:highlight w:val="none"/>
                <w:lang w:val="en-US" w:eastAsia="zh-CN"/>
              </w:rPr>
            </w:pPr>
            <w:r>
              <w:rPr>
                <w:rFonts w:hint="eastAsia" w:ascii="宋体" w:hAnsi="宋体"/>
                <w:i w:val="0"/>
                <w:iCs w:val="0"/>
                <w:szCs w:val="21"/>
                <w:highlight w:val="none"/>
                <w:lang w:val="en-US" w:eastAsia="zh-CN"/>
              </w:rPr>
              <w:t>响应报价</w:t>
            </w:r>
          </w:p>
          <w:p w14:paraId="15B69A0F">
            <w:pPr>
              <w:widowControl/>
              <w:adjustRightInd w:val="0"/>
              <w:snapToGrid w:val="0"/>
              <w:spacing w:line="360" w:lineRule="auto"/>
              <w:jc w:val="center"/>
              <w:rPr>
                <w:rFonts w:hint="eastAsia" w:ascii="宋体" w:hAnsi="宋体"/>
                <w:i w:val="0"/>
                <w:iCs w:val="0"/>
                <w:szCs w:val="21"/>
                <w:highlight w:val="none"/>
                <w:lang w:val="en-US" w:eastAsia="zh-CN"/>
              </w:rPr>
            </w:pPr>
            <w:r>
              <w:rPr>
                <w:rFonts w:hint="eastAsia" w:ascii="宋体" w:hAnsi="宋体"/>
                <w:i w:val="0"/>
                <w:iCs w:val="0"/>
                <w:szCs w:val="21"/>
                <w:highlight w:val="none"/>
                <w:lang w:val="en-US" w:eastAsia="zh-CN"/>
              </w:rPr>
              <w:t>（40分）</w:t>
            </w:r>
          </w:p>
        </w:tc>
        <w:tc>
          <w:tcPr>
            <w:tcW w:w="3848" w:type="pct"/>
            <w:tcBorders>
              <w:top w:val="single" w:color="auto" w:sz="4" w:space="0"/>
              <w:left w:val="single" w:color="auto" w:sz="4" w:space="0"/>
              <w:bottom w:val="single" w:color="auto" w:sz="4" w:space="0"/>
              <w:right w:val="single" w:color="auto" w:sz="4" w:space="0"/>
            </w:tcBorders>
            <w:shd w:val="clear" w:color="auto" w:fill="auto"/>
            <w:vAlign w:val="center"/>
          </w:tcPr>
          <w:p w14:paraId="708B0890">
            <w:pPr>
              <w:adjustRightInd w:val="0"/>
              <w:snapToGrid w:val="0"/>
              <w:spacing w:line="300" w:lineRule="auto"/>
              <w:jc w:val="left"/>
              <w:rPr>
                <w:rFonts w:ascii="宋体" w:hAnsi="宋体"/>
                <w:szCs w:val="21"/>
                <w:highlight w:val="none"/>
              </w:rPr>
            </w:pPr>
            <w:r>
              <w:rPr>
                <w:rFonts w:hint="eastAsia" w:ascii="宋体" w:hAnsi="宋体"/>
                <w:highlight w:val="none"/>
              </w:rPr>
              <w:t>价格分采用低价优先法计算，即满足采购文件要求且报价最低的供应商报价为评审基准价，其价格分为满分</w:t>
            </w:r>
            <w:r>
              <w:rPr>
                <w:rFonts w:hint="eastAsia" w:ascii="宋体" w:hAnsi="宋体"/>
                <w:highlight w:val="none"/>
                <w:lang w:val="en-US" w:eastAsia="zh-CN"/>
              </w:rPr>
              <w:t>40</w:t>
            </w:r>
            <w:r>
              <w:rPr>
                <w:rFonts w:hint="eastAsia" w:ascii="宋体" w:hAnsi="宋体"/>
                <w:highlight w:val="none"/>
              </w:rPr>
              <w:t>分，其他供应商的价格分统一按照以下公式计算：报价得分=（最低报价/该单位的响应报价）*</w:t>
            </w:r>
            <w:r>
              <w:rPr>
                <w:rFonts w:hint="eastAsia" w:ascii="宋体" w:hAnsi="宋体"/>
                <w:highlight w:val="none"/>
                <w:lang w:val="en-US" w:eastAsia="zh-CN"/>
              </w:rPr>
              <w:t>40</w:t>
            </w:r>
            <w:r>
              <w:rPr>
                <w:rFonts w:hint="eastAsia" w:ascii="宋体" w:hAnsi="宋体"/>
                <w:highlight w:val="none"/>
              </w:rPr>
              <w:t>。</w:t>
            </w:r>
          </w:p>
        </w:tc>
        <w:tc>
          <w:tcPr>
            <w:tcW w:w="348" w:type="pct"/>
            <w:tcBorders>
              <w:top w:val="single" w:color="auto" w:sz="4" w:space="0"/>
              <w:left w:val="single" w:color="auto" w:sz="4" w:space="0"/>
              <w:bottom w:val="single" w:color="auto" w:sz="4" w:space="0"/>
              <w:right w:val="single" w:color="auto" w:sz="4" w:space="0"/>
            </w:tcBorders>
            <w:vAlign w:val="center"/>
          </w:tcPr>
          <w:p w14:paraId="4EE0D39A">
            <w:pPr>
              <w:widowControl/>
              <w:adjustRightInd w:val="0"/>
              <w:snapToGrid w:val="0"/>
              <w:spacing w:line="360" w:lineRule="auto"/>
              <w:rPr>
                <w:rFonts w:hint="default" w:ascii="宋体" w:hAnsi="宋体" w:eastAsia="宋体" w:cs="宋体"/>
                <w:b/>
                <w:bCs/>
                <w:highlight w:val="none"/>
                <w:lang w:val="en-US" w:eastAsia="zh-CN"/>
              </w:rPr>
            </w:pPr>
            <w:r>
              <w:rPr>
                <w:rFonts w:hint="eastAsia" w:ascii="宋体" w:hAnsi="宋体"/>
                <w:i w:val="0"/>
                <w:iCs w:val="0"/>
                <w:szCs w:val="21"/>
                <w:highlight w:val="none"/>
                <w:lang w:val="en-US" w:eastAsia="zh-CN"/>
              </w:rPr>
              <w:t>40</w:t>
            </w:r>
          </w:p>
        </w:tc>
      </w:tr>
      <w:tr w14:paraId="656CB05F">
        <w:tblPrEx>
          <w:tblCellMar>
            <w:top w:w="0" w:type="dxa"/>
            <w:left w:w="108" w:type="dxa"/>
            <w:bottom w:w="0" w:type="dxa"/>
            <w:right w:w="108" w:type="dxa"/>
          </w:tblCellMar>
        </w:tblPrEx>
        <w:trPr>
          <w:trHeight w:val="810" w:hRule="atLeast"/>
          <w:jc w:val="center"/>
        </w:trPr>
        <w:tc>
          <w:tcPr>
            <w:tcW w:w="233" w:type="pct"/>
            <w:tcBorders>
              <w:top w:val="single" w:color="auto" w:sz="4" w:space="0"/>
              <w:left w:val="single" w:color="auto" w:sz="4" w:space="0"/>
              <w:bottom w:val="single" w:color="auto" w:sz="4" w:space="0"/>
              <w:right w:val="single" w:color="auto" w:sz="4" w:space="0"/>
            </w:tcBorders>
            <w:vAlign w:val="center"/>
          </w:tcPr>
          <w:p w14:paraId="0158A874">
            <w:pPr>
              <w:widowControl/>
              <w:adjustRightInd w:val="0"/>
              <w:snapToGrid w:val="0"/>
              <w:spacing w:line="360" w:lineRule="auto"/>
              <w:rPr>
                <w:rFonts w:hint="eastAsia" w:ascii="宋体" w:hAnsi="宋体" w:eastAsia="宋体" w:cs="宋体"/>
                <w:highlight w:val="none"/>
                <w:lang w:val="en-US" w:eastAsia="zh-CN"/>
              </w:rPr>
            </w:pPr>
            <w:r>
              <w:rPr>
                <w:rFonts w:hint="eastAsia" w:ascii="宋体" w:hAnsi="宋体"/>
                <w:i w:val="0"/>
                <w:iCs w:val="0"/>
                <w:szCs w:val="21"/>
                <w:highlight w:val="none"/>
                <w:lang w:val="en-US" w:eastAsia="zh-CN"/>
              </w:rPr>
              <w:t>2</w:t>
            </w:r>
          </w:p>
        </w:tc>
        <w:tc>
          <w:tcPr>
            <w:tcW w:w="570" w:type="pct"/>
            <w:tcBorders>
              <w:top w:val="single" w:color="auto" w:sz="4" w:space="0"/>
              <w:left w:val="nil"/>
              <w:bottom w:val="single" w:color="auto" w:sz="4" w:space="0"/>
              <w:right w:val="single" w:color="auto" w:sz="4" w:space="0"/>
            </w:tcBorders>
            <w:vAlign w:val="center"/>
          </w:tcPr>
          <w:p w14:paraId="174E3F42">
            <w:pPr>
              <w:widowControl/>
              <w:adjustRightInd w:val="0"/>
              <w:snapToGrid w:val="0"/>
              <w:spacing w:line="360" w:lineRule="auto"/>
              <w:rPr>
                <w:rFonts w:hint="eastAsia" w:ascii="宋体" w:hAnsi="宋体"/>
                <w:i w:val="0"/>
                <w:iCs w:val="0"/>
                <w:szCs w:val="21"/>
                <w:highlight w:val="none"/>
                <w:lang w:val="en-US" w:eastAsia="zh-CN"/>
              </w:rPr>
            </w:pPr>
            <w:r>
              <w:rPr>
                <w:rFonts w:hint="eastAsia" w:ascii="宋体" w:hAnsi="宋体"/>
                <w:i w:val="0"/>
                <w:iCs w:val="0"/>
                <w:szCs w:val="21"/>
                <w:highlight w:val="none"/>
                <w:lang w:val="en-US" w:eastAsia="zh-CN"/>
              </w:rPr>
              <w:t>技术响应</w:t>
            </w:r>
            <w:r>
              <w:rPr>
                <w:rFonts w:hint="eastAsia" w:ascii="宋体" w:hAnsi="宋体" w:eastAsia="宋体" w:cs="宋体"/>
                <w:szCs w:val="21"/>
                <w:highlight w:val="none"/>
              </w:rPr>
              <w:t>（</w:t>
            </w:r>
            <w:r>
              <w:rPr>
                <w:rFonts w:hint="eastAsia" w:ascii="宋体" w:hAnsi="宋体" w:cs="宋体"/>
                <w:szCs w:val="21"/>
                <w:highlight w:val="none"/>
                <w:lang w:val="en-US" w:eastAsia="zh-CN"/>
              </w:rPr>
              <w:t>21分</w:t>
            </w:r>
            <w:r>
              <w:rPr>
                <w:rFonts w:hint="eastAsia" w:ascii="宋体" w:hAnsi="宋体" w:eastAsia="宋体" w:cs="宋体"/>
                <w:szCs w:val="21"/>
                <w:highlight w:val="none"/>
              </w:rPr>
              <w:t>）</w:t>
            </w:r>
          </w:p>
        </w:tc>
        <w:tc>
          <w:tcPr>
            <w:tcW w:w="3848" w:type="pct"/>
            <w:tcBorders>
              <w:top w:val="single" w:color="auto" w:sz="4" w:space="0"/>
              <w:left w:val="nil"/>
              <w:bottom w:val="single" w:color="auto" w:sz="4" w:space="0"/>
              <w:right w:val="single" w:color="auto" w:sz="4" w:space="0"/>
            </w:tcBorders>
            <w:vAlign w:val="center"/>
          </w:tcPr>
          <w:p w14:paraId="32FE1BFA">
            <w:pPr>
              <w:widowControl/>
              <w:adjustRightInd w:val="0"/>
              <w:snapToGrid w:val="0"/>
              <w:spacing w:line="360" w:lineRule="auto"/>
              <w:rPr>
                <w:rFonts w:hint="eastAsia" w:ascii="宋体" w:hAnsi="宋体"/>
                <w:i w:val="0"/>
                <w:iCs w:val="0"/>
                <w:szCs w:val="21"/>
                <w:highlight w:val="none"/>
                <w:lang w:val="en-US" w:eastAsia="zh-CN"/>
              </w:rPr>
            </w:pPr>
            <w:r>
              <w:rPr>
                <w:rFonts w:hint="eastAsia" w:ascii="宋体" w:hAnsi="宋体"/>
                <w:i w:val="0"/>
                <w:iCs w:val="0"/>
                <w:szCs w:val="21"/>
                <w:highlight w:val="none"/>
                <w:lang w:val="en-US" w:eastAsia="zh-CN"/>
              </w:rPr>
              <w:t xml:space="preserve">根据采购文件第四章“四、主要技术参数要求””中“5.具体功能”的响应情况进行评分， </w:t>
            </w:r>
          </w:p>
          <w:p w14:paraId="066A5A15">
            <w:pPr>
              <w:widowControl/>
              <w:adjustRightInd w:val="0"/>
              <w:snapToGrid w:val="0"/>
              <w:spacing w:line="360" w:lineRule="auto"/>
              <w:rPr>
                <w:rFonts w:hint="eastAsia" w:ascii="宋体" w:hAnsi="宋体"/>
                <w:i w:val="0"/>
                <w:iCs w:val="0"/>
                <w:szCs w:val="21"/>
                <w:highlight w:val="none"/>
                <w:lang w:val="en-US" w:eastAsia="zh-CN"/>
              </w:rPr>
            </w:pPr>
            <w:r>
              <w:rPr>
                <w:rFonts w:hint="eastAsia" w:ascii="宋体" w:hAnsi="宋体"/>
                <w:i w:val="0"/>
                <w:iCs w:val="0"/>
                <w:szCs w:val="21"/>
                <w:highlight w:val="none"/>
                <w:lang w:val="en-US" w:eastAsia="zh-CN"/>
              </w:rPr>
              <w:t xml:space="preserve">全部满足得 21 分，每负偏离一条扣 1 分，扣完为止。 </w:t>
            </w:r>
          </w:p>
          <w:p w14:paraId="4A61716F">
            <w:pPr>
              <w:widowControl/>
              <w:adjustRightInd w:val="0"/>
              <w:snapToGrid w:val="0"/>
              <w:spacing w:line="360" w:lineRule="auto"/>
              <w:rPr>
                <w:rFonts w:hint="eastAsia" w:ascii="宋体" w:hAnsi="宋体"/>
                <w:i w:val="0"/>
                <w:iCs w:val="0"/>
                <w:szCs w:val="21"/>
                <w:highlight w:val="none"/>
                <w:lang w:val="en-US" w:eastAsia="zh-CN"/>
              </w:rPr>
            </w:pPr>
            <w:r>
              <w:rPr>
                <w:rFonts w:hint="eastAsia" w:ascii="宋体" w:hAnsi="宋体"/>
                <w:i w:val="0"/>
                <w:iCs w:val="0"/>
                <w:szCs w:val="21"/>
                <w:highlight w:val="none"/>
                <w:lang w:val="en-US" w:eastAsia="zh-CN"/>
              </w:rPr>
              <w:t>注：</w:t>
            </w:r>
          </w:p>
          <w:p w14:paraId="4710A214">
            <w:pPr>
              <w:widowControl/>
              <w:adjustRightInd w:val="0"/>
              <w:snapToGrid w:val="0"/>
              <w:spacing w:line="360" w:lineRule="auto"/>
              <w:rPr>
                <w:rFonts w:hint="eastAsia" w:ascii="宋体" w:hAnsi="宋体"/>
                <w:i w:val="0"/>
                <w:iCs w:val="0"/>
                <w:szCs w:val="21"/>
                <w:highlight w:val="none"/>
                <w:lang w:val="en-US" w:eastAsia="zh-CN"/>
              </w:rPr>
            </w:pPr>
            <w:r>
              <w:rPr>
                <w:rFonts w:hint="eastAsia" w:ascii="宋体" w:hAnsi="宋体"/>
                <w:i w:val="0"/>
                <w:iCs w:val="0"/>
                <w:szCs w:val="21"/>
                <w:highlight w:val="none"/>
                <w:lang w:val="en-US" w:eastAsia="zh-CN"/>
              </w:rPr>
              <w:t>（1）凡标有最低一级序号的指标项即为一项技术条款，无论是否隶属于上一级编号；</w:t>
            </w:r>
          </w:p>
          <w:p w14:paraId="03E49E47">
            <w:pPr>
              <w:widowControl/>
              <w:adjustRightInd w:val="0"/>
              <w:snapToGrid w:val="0"/>
              <w:spacing w:line="360" w:lineRule="auto"/>
              <w:rPr>
                <w:rFonts w:hint="eastAsia"/>
                <w:lang w:val="en-US" w:eastAsia="zh-CN"/>
              </w:rPr>
            </w:pPr>
            <w:r>
              <w:rPr>
                <w:rFonts w:hint="eastAsia" w:ascii="宋体" w:hAnsi="宋体"/>
                <w:i w:val="0"/>
                <w:iCs w:val="0"/>
                <w:szCs w:val="21"/>
                <w:highlight w:val="none"/>
                <w:lang w:val="en-US" w:eastAsia="zh-CN"/>
              </w:rPr>
              <w:t>（2）一般技术条款以技术规格偏离表应答为准。</w:t>
            </w:r>
          </w:p>
        </w:tc>
        <w:tc>
          <w:tcPr>
            <w:tcW w:w="348" w:type="pct"/>
            <w:tcBorders>
              <w:top w:val="single" w:color="auto" w:sz="4" w:space="0"/>
              <w:left w:val="nil"/>
              <w:bottom w:val="single" w:color="auto" w:sz="4" w:space="0"/>
              <w:right w:val="single" w:color="auto" w:sz="4" w:space="0"/>
            </w:tcBorders>
            <w:vAlign w:val="center"/>
          </w:tcPr>
          <w:p w14:paraId="208A8D3D">
            <w:pPr>
              <w:widowControl/>
              <w:adjustRightInd w:val="0"/>
              <w:snapToGrid w:val="0"/>
              <w:spacing w:line="360" w:lineRule="auto"/>
              <w:rPr>
                <w:rFonts w:hint="default" w:ascii="宋体" w:hAnsi="宋体"/>
                <w:i w:val="0"/>
                <w:iCs w:val="0"/>
                <w:szCs w:val="21"/>
                <w:highlight w:val="none"/>
                <w:lang w:val="en-US" w:eastAsia="zh-CN"/>
              </w:rPr>
            </w:pPr>
            <w:r>
              <w:rPr>
                <w:rFonts w:hint="eastAsia" w:ascii="宋体" w:hAnsi="宋体"/>
                <w:i w:val="0"/>
                <w:iCs w:val="0"/>
                <w:szCs w:val="21"/>
                <w:highlight w:val="none"/>
                <w:lang w:val="en-US" w:eastAsia="zh-CN"/>
              </w:rPr>
              <w:t>21</w:t>
            </w:r>
          </w:p>
        </w:tc>
      </w:tr>
      <w:tr w14:paraId="795C47A7">
        <w:tblPrEx>
          <w:tblCellMar>
            <w:top w:w="0" w:type="dxa"/>
            <w:left w:w="108" w:type="dxa"/>
            <w:bottom w:w="0" w:type="dxa"/>
            <w:right w:w="108" w:type="dxa"/>
          </w:tblCellMar>
        </w:tblPrEx>
        <w:trPr>
          <w:trHeight w:val="810" w:hRule="atLeast"/>
          <w:jc w:val="center"/>
        </w:trPr>
        <w:tc>
          <w:tcPr>
            <w:tcW w:w="233" w:type="pct"/>
            <w:vMerge w:val="restart"/>
            <w:tcBorders>
              <w:top w:val="single" w:color="auto" w:sz="4" w:space="0"/>
              <w:left w:val="single" w:color="auto" w:sz="4" w:space="0"/>
              <w:right w:val="single" w:color="auto" w:sz="4" w:space="0"/>
            </w:tcBorders>
            <w:shd w:val="clear" w:color="auto" w:fill="auto"/>
            <w:vAlign w:val="center"/>
          </w:tcPr>
          <w:p w14:paraId="490EFF26">
            <w:pPr>
              <w:spacing w:line="30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3</w:t>
            </w:r>
          </w:p>
        </w:tc>
        <w:tc>
          <w:tcPr>
            <w:tcW w:w="570" w:type="pct"/>
            <w:vMerge w:val="restart"/>
            <w:tcBorders>
              <w:top w:val="nil"/>
              <w:left w:val="nil"/>
              <w:right w:val="single" w:color="auto" w:sz="4" w:space="0"/>
            </w:tcBorders>
            <w:shd w:val="clear" w:color="auto" w:fill="auto"/>
            <w:vAlign w:val="center"/>
          </w:tcPr>
          <w:p w14:paraId="152D18B0">
            <w:pPr>
              <w:spacing w:line="30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服务</w:t>
            </w:r>
            <w:r>
              <w:rPr>
                <w:rFonts w:hint="eastAsia" w:ascii="宋体" w:hAnsi="宋体" w:cs="宋体"/>
                <w:szCs w:val="21"/>
                <w:highlight w:val="none"/>
                <w:lang w:val="en-US" w:eastAsia="zh-CN"/>
              </w:rPr>
              <w:t>方案</w:t>
            </w:r>
            <w:r>
              <w:rPr>
                <w:rFonts w:hint="eastAsia" w:ascii="宋体" w:hAnsi="宋体" w:eastAsia="宋体" w:cs="宋体"/>
                <w:szCs w:val="21"/>
                <w:highlight w:val="none"/>
              </w:rPr>
              <w:t>（</w:t>
            </w:r>
            <w:r>
              <w:rPr>
                <w:rFonts w:hint="eastAsia" w:ascii="宋体" w:hAnsi="宋体" w:cs="宋体"/>
                <w:szCs w:val="21"/>
                <w:highlight w:val="none"/>
                <w:lang w:val="en-US" w:eastAsia="zh-CN"/>
              </w:rPr>
              <w:t>29分</w:t>
            </w:r>
            <w:r>
              <w:rPr>
                <w:rFonts w:hint="eastAsia" w:ascii="宋体" w:hAnsi="宋体" w:eastAsia="宋体" w:cs="宋体"/>
                <w:szCs w:val="21"/>
                <w:highlight w:val="none"/>
              </w:rPr>
              <w:t>）</w:t>
            </w:r>
          </w:p>
        </w:tc>
        <w:tc>
          <w:tcPr>
            <w:tcW w:w="3848" w:type="pct"/>
            <w:tcBorders>
              <w:top w:val="nil"/>
              <w:left w:val="nil"/>
              <w:bottom w:val="single" w:color="auto" w:sz="4" w:space="0"/>
              <w:right w:val="single" w:color="auto" w:sz="4" w:space="0"/>
            </w:tcBorders>
            <w:shd w:val="clear" w:color="auto" w:fill="auto"/>
            <w:vAlign w:val="center"/>
          </w:tcPr>
          <w:p w14:paraId="3111AA38">
            <w:pPr>
              <w:spacing w:line="300" w:lineRule="auto"/>
              <w:rPr>
                <w:rFonts w:hint="eastAsia" w:ascii="宋体" w:hAnsi="宋体" w:eastAsia="宋体" w:cs="宋体"/>
                <w:szCs w:val="21"/>
                <w:highlight w:val="none"/>
              </w:rPr>
            </w:pPr>
            <w:r>
              <w:rPr>
                <w:rFonts w:hint="eastAsia" w:ascii="宋体" w:hAnsi="宋体" w:eastAsia="宋体" w:cs="宋体"/>
                <w:szCs w:val="21"/>
                <w:highlight w:val="none"/>
              </w:rPr>
              <w:t>实施方案:根据供应商提供的实施方案进行评分(包含组织实施计划、进度计划、供货方案、项目应急预案、安装调试方案质量管控方案、验收方案)。方案完整、科学合理、操作性强的得10分;</w:t>
            </w:r>
          </w:p>
          <w:p w14:paraId="05954F6A">
            <w:pPr>
              <w:spacing w:line="300" w:lineRule="auto"/>
              <w:rPr>
                <w:rFonts w:hint="eastAsia" w:ascii="宋体" w:hAnsi="宋体" w:eastAsia="宋体" w:cs="宋体"/>
                <w:szCs w:val="21"/>
                <w:highlight w:val="none"/>
              </w:rPr>
            </w:pPr>
            <w:r>
              <w:rPr>
                <w:rFonts w:hint="eastAsia" w:ascii="宋体" w:hAnsi="宋体" w:eastAsia="宋体" w:cs="宋体"/>
                <w:szCs w:val="21"/>
                <w:highlight w:val="none"/>
              </w:rPr>
              <w:t>方案较完整、较科学合理、操作性较强的得7分;</w:t>
            </w:r>
          </w:p>
          <w:p w14:paraId="201033E6">
            <w:pPr>
              <w:spacing w:line="300" w:lineRule="auto"/>
              <w:rPr>
                <w:rFonts w:hint="eastAsia" w:ascii="宋体" w:hAnsi="宋体" w:eastAsia="宋体" w:cs="宋体"/>
                <w:szCs w:val="21"/>
                <w:highlight w:val="none"/>
              </w:rPr>
            </w:pPr>
            <w:r>
              <w:rPr>
                <w:rFonts w:hint="eastAsia" w:ascii="宋体" w:hAnsi="宋体" w:eastAsia="宋体" w:cs="宋体"/>
                <w:szCs w:val="21"/>
                <w:highlight w:val="none"/>
              </w:rPr>
              <w:t>方案完整性一般、操作性一般的得4分;</w:t>
            </w:r>
          </w:p>
          <w:p w14:paraId="01CA79A2">
            <w:pPr>
              <w:spacing w:line="300" w:lineRule="auto"/>
              <w:rPr>
                <w:rFonts w:hint="eastAsia" w:ascii="宋体" w:hAnsi="宋体" w:eastAsia="宋体" w:cs="宋体"/>
                <w:szCs w:val="21"/>
                <w:highlight w:val="none"/>
              </w:rPr>
            </w:pPr>
            <w:r>
              <w:rPr>
                <w:rFonts w:hint="eastAsia" w:ascii="宋体" w:hAnsi="宋体" w:eastAsia="宋体" w:cs="宋体"/>
                <w:szCs w:val="21"/>
                <w:highlight w:val="none"/>
              </w:rPr>
              <w:t>方案有明显瑕疵、操作性差的得1分;</w:t>
            </w:r>
          </w:p>
          <w:p w14:paraId="4D363413">
            <w:pPr>
              <w:spacing w:line="30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未提供的不得分;</w:t>
            </w:r>
          </w:p>
        </w:tc>
        <w:tc>
          <w:tcPr>
            <w:tcW w:w="348" w:type="pct"/>
            <w:tcBorders>
              <w:top w:val="nil"/>
              <w:left w:val="nil"/>
              <w:bottom w:val="single" w:color="auto" w:sz="4" w:space="0"/>
              <w:right w:val="single" w:color="auto" w:sz="4" w:space="0"/>
            </w:tcBorders>
            <w:shd w:val="clear" w:color="auto" w:fill="auto"/>
            <w:vAlign w:val="center"/>
          </w:tcPr>
          <w:p w14:paraId="72945083">
            <w:pPr>
              <w:spacing w:line="300" w:lineRule="auto"/>
              <w:rPr>
                <w:rFonts w:hint="eastAsia" w:ascii="微软雅黑" w:hAnsi="微软雅黑" w:eastAsia="宋体" w:cs="微软雅黑"/>
                <w:bCs/>
                <w:sz w:val="21"/>
                <w:szCs w:val="22"/>
                <w:lang w:val="en-US" w:eastAsia="zh-CN" w:bidi="ar-SA"/>
              </w:rPr>
            </w:pPr>
            <w:r>
              <w:rPr>
                <w:rFonts w:hint="eastAsia" w:ascii="宋体" w:hAnsi="宋体" w:eastAsia="宋体" w:cs="宋体"/>
                <w:szCs w:val="21"/>
                <w:highlight w:val="none"/>
              </w:rPr>
              <w:t>1</w:t>
            </w:r>
            <w:r>
              <w:rPr>
                <w:rFonts w:hint="eastAsia" w:ascii="宋体" w:hAnsi="宋体" w:cs="宋体"/>
                <w:szCs w:val="21"/>
                <w:highlight w:val="none"/>
                <w:lang w:val="en-US" w:eastAsia="zh-CN"/>
              </w:rPr>
              <w:t>0</w:t>
            </w:r>
          </w:p>
        </w:tc>
      </w:tr>
      <w:tr w14:paraId="0579D4BA">
        <w:tblPrEx>
          <w:tblCellMar>
            <w:top w:w="0" w:type="dxa"/>
            <w:left w:w="108" w:type="dxa"/>
            <w:bottom w:w="0" w:type="dxa"/>
            <w:right w:w="108" w:type="dxa"/>
          </w:tblCellMar>
        </w:tblPrEx>
        <w:trPr>
          <w:trHeight w:val="810" w:hRule="atLeast"/>
          <w:jc w:val="center"/>
        </w:trPr>
        <w:tc>
          <w:tcPr>
            <w:tcW w:w="233" w:type="pct"/>
            <w:vMerge w:val="continue"/>
            <w:tcBorders>
              <w:left w:val="single" w:color="auto" w:sz="4" w:space="0"/>
              <w:right w:val="single" w:color="auto" w:sz="4" w:space="0"/>
            </w:tcBorders>
            <w:shd w:val="clear" w:color="auto" w:fill="auto"/>
            <w:vAlign w:val="center"/>
          </w:tcPr>
          <w:p w14:paraId="574E903B">
            <w:pPr>
              <w:pStyle w:val="19"/>
              <w:rPr>
                <w:rFonts w:hint="eastAsia"/>
              </w:rPr>
            </w:pPr>
          </w:p>
        </w:tc>
        <w:tc>
          <w:tcPr>
            <w:tcW w:w="570" w:type="pct"/>
            <w:vMerge w:val="continue"/>
            <w:tcBorders>
              <w:left w:val="nil"/>
              <w:right w:val="single" w:color="auto" w:sz="4" w:space="0"/>
            </w:tcBorders>
            <w:shd w:val="clear" w:color="auto" w:fill="auto"/>
            <w:vAlign w:val="center"/>
          </w:tcPr>
          <w:p w14:paraId="647D433B">
            <w:pPr>
              <w:spacing w:line="300" w:lineRule="auto"/>
              <w:rPr>
                <w:rFonts w:hint="eastAsia" w:ascii="宋体" w:hAnsi="宋体" w:eastAsia="宋体" w:cs="宋体"/>
                <w:szCs w:val="21"/>
                <w:highlight w:val="none"/>
                <w:lang w:val="en-US" w:eastAsia="zh-CN"/>
              </w:rPr>
            </w:pPr>
          </w:p>
        </w:tc>
        <w:tc>
          <w:tcPr>
            <w:tcW w:w="3848" w:type="pct"/>
            <w:tcBorders>
              <w:top w:val="nil"/>
              <w:left w:val="nil"/>
              <w:bottom w:val="single" w:color="auto" w:sz="4" w:space="0"/>
              <w:right w:val="single" w:color="auto" w:sz="4" w:space="0"/>
            </w:tcBorders>
            <w:shd w:val="clear" w:color="auto" w:fill="auto"/>
            <w:vAlign w:val="center"/>
          </w:tcPr>
          <w:p w14:paraId="14D1C3A4">
            <w:pPr>
              <w:widowControl/>
              <w:adjustRightInd w:val="0"/>
              <w:snapToGrid w:val="0"/>
              <w:spacing w:line="360" w:lineRule="auto"/>
              <w:rPr>
                <w:rFonts w:hint="eastAsia" w:ascii="宋体" w:hAnsi="宋体"/>
                <w:i w:val="0"/>
                <w:iCs w:val="0"/>
                <w:szCs w:val="21"/>
                <w:highlight w:val="none"/>
              </w:rPr>
            </w:pPr>
            <w:r>
              <w:rPr>
                <w:rFonts w:hint="eastAsia" w:ascii="宋体" w:hAnsi="宋体"/>
                <w:i w:val="0"/>
                <w:iCs w:val="0"/>
                <w:szCs w:val="21"/>
                <w:highlight w:val="none"/>
              </w:rPr>
              <w:t>培训方案:根据供应商提供的培训方案进行评分(包含培训人员、培训方式等)。</w:t>
            </w:r>
          </w:p>
          <w:p w14:paraId="19406B3E">
            <w:pPr>
              <w:widowControl/>
              <w:adjustRightInd w:val="0"/>
              <w:snapToGrid w:val="0"/>
              <w:spacing w:line="360" w:lineRule="auto"/>
              <w:rPr>
                <w:rFonts w:hint="eastAsia" w:ascii="宋体" w:hAnsi="宋体"/>
                <w:i w:val="0"/>
                <w:iCs w:val="0"/>
                <w:szCs w:val="21"/>
                <w:highlight w:val="none"/>
              </w:rPr>
            </w:pPr>
            <w:r>
              <w:rPr>
                <w:rFonts w:hint="eastAsia" w:ascii="宋体" w:hAnsi="宋体"/>
                <w:i w:val="0"/>
                <w:iCs w:val="0"/>
                <w:szCs w:val="21"/>
                <w:highlight w:val="none"/>
              </w:rPr>
              <w:t>方案内培训内容的完整、合理、详实且满足采购人需求的得9分;</w:t>
            </w:r>
          </w:p>
          <w:p w14:paraId="1CF9FF9A">
            <w:pPr>
              <w:widowControl/>
              <w:adjustRightInd w:val="0"/>
              <w:snapToGrid w:val="0"/>
              <w:spacing w:line="360" w:lineRule="auto"/>
              <w:rPr>
                <w:rFonts w:hint="eastAsia" w:ascii="宋体" w:hAnsi="宋体"/>
                <w:i w:val="0"/>
                <w:iCs w:val="0"/>
                <w:szCs w:val="21"/>
                <w:highlight w:val="none"/>
              </w:rPr>
            </w:pPr>
            <w:r>
              <w:rPr>
                <w:rFonts w:hint="eastAsia" w:ascii="宋体" w:hAnsi="宋体"/>
                <w:i w:val="0"/>
                <w:iCs w:val="0"/>
                <w:szCs w:val="21"/>
                <w:highlight w:val="none"/>
              </w:rPr>
              <w:t>培训内容较完整、合理且基本满足采购人需求的得6分;</w:t>
            </w:r>
          </w:p>
          <w:p w14:paraId="79DF2244">
            <w:pPr>
              <w:widowControl/>
              <w:adjustRightInd w:val="0"/>
              <w:snapToGrid w:val="0"/>
              <w:spacing w:line="360" w:lineRule="auto"/>
              <w:rPr>
                <w:rFonts w:hint="eastAsia" w:ascii="宋体" w:hAnsi="宋体"/>
                <w:i w:val="0"/>
                <w:iCs w:val="0"/>
                <w:szCs w:val="21"/>
                <w:highlight w:val="none"/>
              </w:rPr>
            </w:pPr>
            <w:r>
              <w:rPr>
                <w:rFonts w:hint="eastAsia" w:ascii="宋体" w:hAnsi="宋体"/>
                <w:i w:val="0"/>
                <w:iCs w:val="0"/>
                <w:szCs w:val="21"/>
                <w:highlight w:val="none"/>
              </w:rPr>
              <w:t>方案完整性一般、操作性一般的得3分;</w:t>
            </w:r>
          </w:p>
          <w:p w14:paraId="67FE4093">
            <w:pPr>
              <w:widowControl/>
              <w:adjustRightInd w:val="0"/>
              <w:snapToGrid w:val="0"/>
              <w:spacing w:line="360" w:lineRule="auto"/>
              <w:rPr>
                <w:rFonts w:hint="eastAsia" w:ascii="宋体" w:hAnsi="宋体"/>
                <w:i w:val="0"/>
                <w:iCs w:val="0"/>
                <w:szCs w:val="21"/>
                <w:highlight w:val="none"/>
              </w:rPr>
            </w:pPr>
            <w:r>
              <w:rPr>
                <w:rFonts w:hint="eastAsia" w:ascii="宋体" w:hAnsi="宋体"/>
                <w:i w:val="0"/>
                <w:iCs w:val="0"/>
                <w:szCs w:val="21"/>
                <w:highlight w:val="none"/>
              </w:rPr>
              <w:t>方案有明显瑕疵、操作性差的得1分;</w:t>
            </w:r>
          </w:p>
          <w:p w14:paraId="682C321C">
            <w:pPr>
              <w:widowControl/>
              <w:adjustRightInd w:val="0"/>
              <w:snapToGrid w:val="0"/>
              <w:spacing w:line="360" w:lineRule="auto"/>
              <w:rPr>
                <w:rFonts w:hint="eastAsia" w:ascii="宋体" w:hAnsi="宋体" w:eastAsia="宋体" w:cs="宋体"/>
                <w:szCs w:val="21"/>
                <w:highlight w:val="none"/>
                <w:lang w:val="en-US" w:eastAsia="zh-CN"/>
              </w:rPr>
            </w:pPr>
            <w:r>
              <w:rPr>
                <w:rFonts w:hint="eastAsia" w:ascii="宋体" w:hAnsi="宋体"/>
                <w:i w:val="0"/>
                <w:iCs w:val="0"/>
                <w:szCs w:val="21"/>
                <w:highlight w:val="none"/>
              </w:rPr>
              <w:t>未提供的不得分。</w:t>
            </w:r>
          </w:p>
        </w:tc>
        <w:tc>
          <w:tcPr>
            <w:tcW w:w="348" w:type="pct"/>
            <w:tcBorders>
              <w:top w:val="nil"/>
              <w:left w:val="nil"/>
              <w:bottom w:val="single" w:color="auto" w:sz="4" w:space="0"/>
              <w:right w:val="single" w:color="auto" w:sz="4" w:space="0"/>
            </w:tcBorders>
            <w:shd w:val="clear" w:color="auto" w:fill="auto"/>
            <w:vAlign w:val="center"/>
          </w:tcPr>
          <w:p w14:paraId="72AB1828">
            <w:pPr>
              <w:spacing w:line="30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9</w:t>
            </w:r>
          </w:p>
        </w:tc>
      </w:tr>
      <w:tr w14:paraId="7CAE7EF3">
        <w:tblPrEx>
          <w:tblCellMar>
            <w:top w:w="0" w:type="dxa"/>
            <w:left w:w="108" w:type="dxa"/>
            <w:bottom w:w="0" w:type="dxa"/>
            <w:right w:w="108" w:type="dxa"/>
          </w:tblCellMar>
        </w:tblPrEx>
        <w:trPr>
          <w:trHeight w:val="810" w:hRule="atLeast"/>
          <w:jc w:val="center"/>
        </w:trPr>
        <w:tc>
          <w:tcPr>
            <w:tcW w:w="233" w:type="pct"/>
            <w:vMerge w:val="continue"/>
            <w:tcBorders>
              <w:left w:val="single" w:color="auto" w:sz="4" w:space="0"/>
              <w:bottom w:val="single" w:color="auto" w:sz="4" w:space="0"/>
              <w:right w:val="single" w:color="auto" w:sz="4" w:space="0"/>
            </w:tcBorders>
            <w:shd w:val="clear" w:color="auto" w:fill="auto"/>
            <w:vAlign w:val="center"/>
          </w:tcPr>
          <w:p w14:paraId="4FAA6925">
            <w:pPr>
              <w:spacing w:line="300" w:lineRule="auto"/>
              <w:jc w:val="center"/>
              <w:rPr>
                <w:rFonts w:hint="eastAsia" w:eastAsia="宋体"/>
                <w:lang w:val="en-US" w:eastAsia="zh-CN"/>
              </w:rPr>
            </w:pPr>
          </w:p>
        </w:tc>
        <w:tc>
          <w:tcPr>
            <w:tcW w:w="570" w:type="pct"/>
            <w:vMerge w:val="continue"/>
            <w:tcBorders>
              <w:left w:val="nil"/>
              <w:bottom w:val="single" w:color="auto" w:sz="4" w:space="0"/>
              <w:right w:val="single" w:color="auto" w:sz="4" w:space="0"/>
            </w:tcBorders>
            <w:shd w:val="clear" w:color="auto" w:fill="auto"/>
            <w:vAlign w:val="center"/>
          </w:tcPr>
          <w:p w14:paraId="4EC19543">
            <w:pPr>
              <w:spacing w:line="300" w:lineRule="auto"/>
              <w:rPr>
                <w:rFonts w:hint="eastAsia" w:ascii="宋体" w:hAnsi="宋体" w:eastAsia="宋体" w:cs="宋体"/>
                <w:szCs w:val="21"/>
                <w:highlight w:val="none"/>
                <w:lang w:val="en-US" w:eastAsia="zh-CN"/>
              </w:rPr>
            </w:pPr>
          </w:p>
        </w:tc>
        <w:tc>
          <w:tcPr>
            <w:tcW w:w="3848" w:type="pct"/>
            <w:tcBorders>
              <w:top w:val="nil"/>
              <w:left w:val="nil"/>
              <w:bottom w:val="single" w:color="auto" w:sz="4" w:space="0"/>
              <w:right w:val="single" w:color="auto" w:sz="4" w:space="0"/>
            </w:tcBorders>
            <w:shd w:val="clear" w:color="auto" w:fill="auto"/>
            <w:vAlign w:val="center"/>
          </w:tcPr>
          <w:p w14:paraId="7B922561">
            <w:pPr>
              <w:spacing w:line="30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售后服务方案:根据供应商提供的售后服务方案进行评分(包含售后服务方案、服务体系、服务内容、响应时间、故障解决方案、专业技术人员保障等)。</w:t>
            </w:r>
          </w:p>
          <w:p w14:paraId="4E2D3AD0">
            <w:pPr>
              <w:spacing w:line="30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方案完整、科学合理、操作性强的得10分;</w:t>
            </w:r>
          </w:p>
          <w:p w14:paraId="580497BB">
            <w:pPr>
              <w:spacing w:line="30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方案较完整、较科学合理、操作性较强的得7分;</w:t>
            </w:r>
          </w:p>
          <w:p w14:paraId="259C9551">
            <w:pPr>
              <w:spacing w:line="30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方案完整性一般、操作性一般的得4分;</w:t>
            </w:r>
          </w:p>
          <w:p w14:paraId="410A68E2">
            <w:pPr>
              <w:spacing w:line="30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方案有明显瑕疵、操作性差的得1分;</w:t>
            </w:r>
          </w:p>
          <w:p w14:paraId="43D6B3A6">
            <w:pPr>
              <w:spacing w:line="30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rPr>
              <w:t>未提供的不得分;</w:t>
            </w:r>
          </w:p>
        </w:tc>
        <w:tc>
          <w:tcPr>
            <w:tcW w:w="348" w:type="pct"/>
            <w:tcBorders>
              <w:top w:val="nil"/>
              <w:left w:val="nil"/>
              <w:bottom w:val="single" w:color="auto" w:sz="4" w:space="0"/>
              <w:right w:val="single" w:color="auto" w:sz="4" w:space="0"/>
            </w:tcBorders>
            <w:shd w:val="clear" w:color="auto" w:fill="auto"/>
            <w:vAlign w:val="center"/>
          </w:tcPr>
          <w:p w14:paraId="532B84D8">
            <w:pPr>
              <w:spacing w:line="30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10</w:t>
            </w:r>
          </w:p>
        </w:tc>
      </w:tr>
      <w:tr w14:paraId="7B4C8C3A">
        <w:tblPrEx>
          <w:tblCellMar>
            <w:top w:w="0" w:type="dxa"/>
            <w:left w:w="108" w:type="dxa"/>
            <w:bottom w:w="0" w:type="dxa"/>
            <w:right w:w="108" w:type="dxa"/>
          </w:tblCellMar>
        </w:tblPrEx>
        <w:trPr>
          <w:trHeight w:val="810" w:hRule="atLeast"/>
          <w:jc w:val="center"/>
        </w:trPr>
        <w:tc>
          <w:tcPr>
            <w:tcW w:w="233" w:type="pct"/>
            <w:tcBorders>
              <w:top w:val="single" w:color="auto" w:sz="4" w:space="0"/>
              <w:left w:val="single" w:color="auto" w:sz="4" w:space="0"/>
              <w:bottom w:val="single" w:color="auto" w:sz="4" w:space="0"/>
              <w:right w:val="single" w:color="auto" w:sz="4" w:space="0"/>
            </w:tcBorders>
            <w:vAlign w:val="center"/>
          </w:tcPr>
          <w:p w14:paraId="0B8654D0">
            <w:pPr>
              <w:spacing w:line="30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4</w:t>
            </w:r>
          </w:p>
        </w:tc>
        <w:tc>
          <w:tcPr>
            <w:tcW w:w="570" w:type="pct"/>
            <w:tcBorders>
              <w:top w:val="nil"/>
              <w:left w:val="nil"/>
              <w:bottom w:val="single" w:color="auto" w:sz="4" w:space="0"/>
              <w:right w:val="single" w:color="auto" w:sz="4" w:space="0"/>
            </w:tcBorders>
            <w:vAlign w:val="center"/>
          </w:tcPr>
          <w:p w14:paraId="26869132">
            <w:pPr>
              <w:spacing w:line="30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rPr>
              <w:t>业绩(10分)</w:t>
            </w:r>
          </w:p>
        </w:tc>
        <w:tc>
          <w:tcPr>
            <w:tcW w:w="3848" w:type="pct"/>
            <w:tcBorders>
              <w:top w:val="nil"/>
              <w:left w:val="nil"/>
              <w:bottom w:val="single" w:color="auto" w:sz="4" w:space="0"/>
              <w:right w:val="single" w:color="auto" w:sz="4" w:space="0"/>
            </w:tcBorders>
            <w:vAlign w:val="center"/>
          </w:tcPr>
          <w:p w14:paraId="17ED4ADB">
            <w:pPr>
              <w:spacing w:line="30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自202</w:t>
            </w:r>
            <w:r>
              <w:rPr>
                <w:rFonts w:hint="eastAsia" w:ascii="宋体" w:hAnsi="宋体" w:cs="宋体"/>
                <w:szCs w:val="21"/>
                <w:highlight w:val="none"/>
                <w:lang w:val="en-US" w:eastAsia="zh-CN"/>
              </w:rPr>
              <w:t>3</w:t>
            </w:r>
            <w:r>
              <w:rPr>
                <w:rFonts w:hint="eastAsia" w:ascii="宋体" w:hAnsi="宋体" w:eastAsia="宋体" w:cs="宋体"/>
                <w:szCs w:val="21"/>
                <w:highlight w:val="none"/>
                <w:lang w:val="en-US" w:eastAsia="zh-CN"/>
              </w:rPr>
              <w:t>年</w:t>
            </w:r>
            <w:r>
              <w:rPr>
                <w:rFonts w:hint="eastAsia" w:ascii="宋体" w:hAnsi="宋体" w:cs="宋体"/>
                <w:szCs w:val="21"/>
                <w:highlight w:val="none"/>
                <w:lang w:val="en-US" w:eastAsia="zh-CN"/>
              </w:rPr>
              <w:t>8</w:t>
            </w:r>
            <w:r>
              <w:rPr>
                <w:rFonts w:hint="eastAsia" w:ascii="宋体" w:hAnsi="宋体" w:eastAsia="宋体" w:cs="宋体"/>
                <w:szCs w:val="21"/>
                <w:highlight w:val="none"/>
                <w:lang w:val="en-US" w:eastAsia="zh-CN"/>
              </w:rPr>
              <w:t>月1日以来，</w:t>
            </w:r>
            <w:r>
              <w:rPr>
                <w:rFonts w:hint="eastAsia" w:ascii="宋体" w:hAnsi="宋体" w:cs="宋体"/>
                <w:szCs w:val="21"/>
                <w:highlight w:val="none"/>
                <w:lang w:val="en-US" w:eastAsia="zh-CN"/>
              </w:rPr>
              <w:t>供应商</w:t>
            </w:r>
            <w:r>
              <w:rPr>
                <w:rFonts w:hint="eastAsia" w:ascii="宋体" w:hAnsi="宋体" w:eastAsia="宋体" w:cs="宋体"/>
                <w:szCs w:val="21"/>
                <w:highlight w:val="none"/>
                <w:lang w:val="en-US" w:eastAsia="zh-CN"/>
              </w:rPr>
              <w:t>具有类似业绩的，每提供一个得2分，满分10</w:t>
            </w:r>
          </w:p>
          <w:p w14:paraId="3275AE54">
            <w:pPr>
              <w:spacing w:line="30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分。(时间以合同签订时间为准，提供合同复印件加盖公章)</w:t>
            </w:r>
          </w:p>
        </w:tc>
        <w:tc>
          <w:tcPr>
            <w:tcW w:w="348" w:type="pct"/>
            <w:tcBorders>
              <w:top w:val="nil"/>
              <w:left w:val="nil"/>
              <w:bottom w:val="single" w:color="auto" w:sz="4" w:space="0"/>
              <w:right w:val="single" w:color="auto" w:sz="4" w:space="0"/>
            </w:tcBorders>
            <w:vAlign w:val="center"/>
          </w:tcPr>
          <w:p w14:paraId="71B28651">
            <w:pPr>
              <w:spacing w:line="30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10</w:t>
            </w:r>
          </w:p>
        </w:tc>
      </w:tr>
      <w:bookmarkEnd w:id="6"/>
    </w:tbl>
    <w:p w14:paraId="23D1AB37">
      <w:pPr>
        <w:wordWrap w:val="0"/>
        <w:adjustRightInd w:val="0"/>
        <w:snapToGrid w:val="0"/>
        <w:spacing w:line="360" w:lineRule="auto"/>
        <w:jc w:val="left"/>
        <w:rPr>
          <w:rFonts w:hint="eastAsia" w:ascii="宋体" w:hAnsi="宋体"/>
          <w:b/>
          <w:bCs/>
          <w:i w:val="0"/>
          <w:iCs w:val="0"/>
          <w:szCs w:val="21"/>
          <w:highlight w:val="none"/>
        </w:rPr>
      </w:pPr>
    </w:p>
    <w:p w14:paraId="52385322">
      <w:pPr>
        <w:wordWrap w:val="0"/>
        <w:adjustRightInd w:val="0"/>
        <w:snapToGrid w:val="0"/>
        <w:spacing w:line="360" w:lineRule="auto"/>
        <w:jc w:val="left"/>
        <w:rPr>
          <w:rFonts w:hint="eastAsia"/>
          <w:color w:val="000000" w:themeColor="text1"/>
          <w:highlight w:val="none"/>
          <w:lang w:val="en-US" w:eastAsia="zh-CN"/>
          <w14:textFill>
            <w14:solidFill>
              <w14:schemeClr w14:val="tx1"/>
            </w14:solidFill>
          </w14:textFill>
        </w:rPr>
      </w:pPr>
      <w:r>
        <w:rPr>
          <w:rFonts w:hint="eastAsia" w:ascii="宋体" w:hAnsi="宋体"/>
          <w:b/>
          <w:bCs/>
          <w:i w:val="0"/>
          <w:iCs w:val="0"/>
          <w:szCs w:val="21"/>
          <w:highlight w:val="none"/>
          <w:lang w:val="en-US" w:eastAsia="zh-CN"/>
        </w:rPr>
        <w:t>备注</w:t>
      </w:r>
      <w:r>
        <w:rPr>
          <w:rFonts w:hint="eastAsia"/>
          <w:color w:val="000000" w:themeColor="text1"/>
          <w:highlight w:val="none"/>
          <w:lang w:val="en-US" w:eastAsia="zh-CN"/>
          <w14:textFill>
            <w14:solidFill>
              <w14:schemeClr w14:val="tx1"/>
            </w14:solidFill>
          </w14:textFill>
        </w:rPr>
        <w:t>：</w:t>
      </w:r>
    </w:p>
    <w:p w14:paraId="77983D0D">
      <w:pPr>
        <w:wordWrap w:val="0"/>
        <w:adjustRightInd w:val="0"/>
        <w:snapToGrid w:val="0"/>
        <w:spacing w:line="360" w:lineRule="auto"/>
        <w:jc w:val="left"/>
        <w:rPr>
          <w:rFonts w:hint="eastAsia" w:ascii="宋体" w:hAnsi="宋体"/>
          <w:b/>
          <w:bCs/>
          <w:i w:val="0"/>
          <w:iCs w:val="0"/>
          <w:szCs w:val="21"/>
          <w:highlight w:val="none"/>
        </w:rPr>
      </w:pPr>
      <w:r>
        <w:rPr>
          <w:rFonts w:hint="eastAsia" w:ascii="宋体" w:hAnsi="宋体"/>
          <w:b/>
          <w:bCs/>
          <w:i w:val="0"/>
          <w:iCs w:val="0"/>
          <w:szCs w:val="21"/>
          <w:highlight w:val="none"/>
        </w:rPr>
        <w:t>评审委员会启动异常低价响应审查的情形和具体要求，包括：</w:t>
      </w:r>
    </w:p>
    <w:p w14:paraId="4218DC8A">
      <w:pPr>
        <w:wordWrap w:val="0"/>
        <w:adjustRightInd w:val="0"/>
        <w:snapToGrid w:val="0"/>
        <w:spacing w:line="360" w:lineRule="auto"/>
        <w:jc w:val="left"/>
        <w:rPr>
          <w:rFonts w:hint="eastAsia" w:ascii="宋体" w:hAnsi="宋体"/>
          <w:i w:val="0"/>
          <w:iCs w:val="0"/>
          <w:szCs w:val="21"/>
          <w:highlight w:val="none"/>
        </w:rPr>
      </w:pPr>
      <w:r>
        <w:rPr>
          <w:rFonts w:hint="eastAsia" w:ascii="宋体" w:hAnsi="宋体"/>
          <w:i w:val="0"/>
          <w:iCs w:val="0"/>
          <w:szCs w:val="21"/>
          <w:highlight w:val="none"/>
        </w:rPr>
        <w:t>（1）评审过程中出现下列情形之一的，评审委员会应当启动异常低价响应审查程序：</w:t>
      </w:r>
    </w:p>
    <w:p w14:paraId="6686F665">
      <w:pPr>
        <w:wordWrap w:val="0"/>
        <w:adjustRightInd w:val="0"/>
        <w:snapToGrid w:val="0"/>
        <w:spacing w:line="360" w:lineRule="auto"/>
        <w:jc w:val="left"/>
        <w:rPr>
          <w:rFonts w:hint="eastAsia" w:ascii="宋体" w:hAnsi="宋体"/>
          <w:i w:val="0"/>
          <w:iCs w:val="0"/>
          <w:szCs w:val="21"/>
          <w:highlight w:val="none"/>
        </w:rPr>
      </w:pPr>
      <w:r>
        <w:rPr>
          <w:rFonts w:hint="eastAsia" w:ascii="宋体" w:hAnsi="宋体"/>
          <w:i w:val="0"/>
          <w:iCs w:val="0"/>
          <w:szCs w:val="21"/>
          <w:highlight w:val="none"/>
        </w:rPr>
        <w:t>①响应报价低于全部通过符合性审查供应商响应报价平均值50%的，即响应报价&lt;全部通过符合性审查供应商响应报价平均值×50%；</w:t>
      </w:r>
    </w:p>
    <w:p w14:paraId="5C25B8E0">
      <w:pPr>
        <w:wordWrap w:val="0"/>
        <w:adjustRightInd w:val="0"/>
        <w:snapToGrid w:val="0"/>
        <w:spacing w:line="360" w:lineRule="auto"/>
        <w:jc w:val="left"/>
        <w:rPr>
          <w:rFonts w:hint="eastAsia" w:ascii="宋体" w:hAnsi="宋体"/>
          <w:i w:val="0"/>
          <w:iCs w:val="0"/>
          <w:szCs w:val="21"/>
          <w:highlight w:val="none"/>
        </w:rPr>
      </w:pPr>
      <w:r>
        <w:rPr>
          <w:rFonts w:hint="eastAsia" w:ascii="宋体" w:hAnsi="宋体"/>
          <w:i w:val="0"/>
          <w:iCs w:val="0"/>
          <w:szCs w:val="21"/>
          <w:highlight w:val="none"/>
        </w:rPr>
        <w:t>②响应报价低于通过符合性审查的次低报价供应商响应报价50%的，即响应报价&lt;通过符合性审查的次低报价供应商响应报价×50%;</w:t>
      </w:r>
    </w:p>
    <w:p w14:paraId="30E287E3">
      <w:pPr>
        <w:wordWrap w:val="0"/>
        <w:adjustRightInd w:val="0"/>
        <w:snapToGrid w:val="0"/>
        <w:spacing w:line="360" w:lineRule="auto"/>
        <w:jc w:val="left"/>
        <w:rPr>
          <w:rFonts w:hint="eastAsia" w:ascii="宋体" w:hAnsi="宋体"/>
          <w:i w:val="0"/>
          <w:iCs w:val="0"/>
          <w:szCs w:val="21"/>
          <w:highlight w:val="none"/>
        </w:rPr>
      </w:pPr>
      <w:r>
        <w:rPr>
          <w:rFonts w:hint="eastAsia" w:ascii="宋体" w:hAnsi="宋体"/>
          <w:i w:val="0"/>
          <w:iCs w:val="0"/>
          <w:szCs w:val="21"/>
          <w:highlight w:val="none"/>
        </w:rPr>
        <w:t>③响应报价低于采购项目最高限价45%的，即响应报价&lt;采购项目最高限价×</w:t>
      </w:r>
      <w:r>
        <w:rPr>
          <w:rFonts w:hint="eastAsia" w:ascii="宋体" w:hAnsi="宋体"/>
          <w:i w:val="0"/>
          <w:iCs w:val="0"/>
          <w:szCs w:val="21"/>
          <w:highlight w:val="none"/>
          <w:lang w:val="en-US" w:eastAsia="zh-CN"/>
        </w:rPr>
        <w:t>45</w:t>
      </w:r>
      <w:r>
        <w:rPr>
          <w:rFonts w:hint="eastAsia" w:ascii="宋体" w:hAnsi="宋体"/>
          <w:i w:val="0"/>
          <w:iCs w:val="0"/>
          <w:szCs w:val="21"/>
          <w:highlight w:val="none"/>
        </w:rPr>
        <w:t>%；</w:t>
      </w:r>
    </w:p>
    <w:p w14:paraId="40129B1E">
      <w:pPr>
        <w:wordWrap w:val="0"/>
        <w:adjustRightInd w:val="0"/>
        <w:snapToGrid w:val="0"/>
        <w:spacing w:line="360" w:lineRule="auto"/>
        <w:jc w:val="left"/>
        <w:rPr>
          <w:rFonts w:hint="eastAsia" w:ascii="宋体" w:hAnsi="宋体"/>
          <w:i w:val="0"/>
          <w:iCs w:val="0"/>
          <w:szCs w:val="21"/>
          <w:highlight w:val="none"/>
        </w:rPr>
      </w:pPr>
      <w:r>
        <w:rPr>
          <w:rFonts w:hint="eastAsia" w:ascii="宋体" w:hAnsi="宋体"/>
          <w:i w:val="0"/>
          <w:iCs w:val="0"/>
          <w:szCs w:val="21"/>
          <w:highlight w:val="none"/>
        </w:rPr>
        <w:t>④评审委员会基于专业判断，认为供应商报价过低，有可能影响产品质量或者不能诚信履约的其他情形。</w:t>
      </w:r>
    </w:p>
    <w:p w14:paraId="79DA8101">
      <w:pPr>
        <w:wordWrap w:val="0"/>
        <w:adjustRightInd w:val="0"/>
        <w:snapToGrid w:val="0"/>
        <w:spacing w:line="360" w:lineRule="auto"/>
        <w:jc w:val="left"/>
        <w:rPr>
          <w:rFonts w:hint="eastAsia" w:ascii="宋体" w:hAnsi="宋体"/>
          <w:i w:val="0"/>
          <w:iCs w:val="0"/>
          <w:szCs w:val="21"/>
          <w:highlight w:val="none"/>
        </w:rPr>
      </w:pPr>
      <w:r>
        <w:rPr>
          <w:rFonts w:hint="eastAsia" w:ascii="宋体" w:hAnsi="宋体"/>
          <w:i w:val="0"/>
          <w:iCs w:val="0"/>
          <w:szCs w:val="21"/>
          <w:highlight w:val="none"/>
        </w:rPr>
        <w:t>（2）评审委员会启动异常低价响应审查后，属于前述第①项至第④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响应文件一并提交相关书面说明及必要的证明材料的，在评审现场可不再重复提交。</w:t>
      </w:r>
    </w:p>
    <w:p w14:paraId="683784D8">
      <w:pPr>
        <w:spacing w:line="360" w:lineRule="auto"/>
        <w:rPr>
          <w:rFonts w:hint="eastAsia" w:ascii="宋体" w:hAnsi="宋体"/>
          <w:i w:val="0"/>
          <w:iCs w:val="0"/>
          <w:szCs w:val="21"/>
          <w:highlight w:val="none"/>
        </w:rPr>
      </w:pPr>
      <w:r>
        <w:rPr>
          <w:rFonts w:hint="eastAsia" w:ascii="宋体" w:hAnsi="宋体"/>
          <w:i w:val="0"/>
          <w:iCs w:val="0"/>
          <w:szCs w:val="21"/>
          <w:highlight w:val="none"/>
        </w:rPr>
        <w:t>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6B156033">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2E188721">
      <w:pPr>
        <w:pStyle w:val="267"/>
        <w:numPr>
          <w:ilvl w:val="0"/>
          <w:numId w:val="53"/>
        </w:num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采购需求</w:t>
      </w:r>
    </w:p>
    <w:p w14:paraId="7E04C78A">
      <w:pPr>
        <w:numPr>
          <w:ilvl w:val="0"/>
          <w:numId w:val="54"/>
        </w:numPr>
        <w:adjustRightInd w:val="0"/>
        <w:snapToGrid w:val="0"/>
        <w:spacing w:line="360" w:lineRule="auto"/>
        <w:outlineLvl w:val="2"/>
        <w:rPr>
          <w:b/>
          <w:sz w:val="28"/>
          <w:szCs w:val="28"/>
          <w:highlight w:val="none"/>
          <w:lang w:val="zh-CN"/>
        </w:rPr>
      </w:pPr>
      <w:bookmarkStart w:id="7" w:name="_Toc203665812"/>
      <w:r>
        <w:rPr>
          <w:rFonts w:hint="eastAsia"/>
          <w:b/>
          <w:sz w:val="28"/>
          <w:szCs w:val="28"/>
          <w:highlight w:val="none"/>
          <w:lang w:val="zh-CN"/>
        </w:rPr>
        <w:t>总则</w:t>
      </w:r>
      <w:bookmarkEnd w:id="7"/>
    </w:p>
    <w:p w14:paraId="4F98F091">
      <w:pPr>
        <w:pStyle w:val="3"/>
        <w:numPr>
          <w:ilvl w:val="2"/>
          <w:numId w:val="55"/>
        </w:numPr>
        <w:spacing w:line="360" w:lineRule="auto"/>
        <w:ind w:left="0" w:firstLine="480"/>
        <w:rPr>
          <w:sz w:val="24"/>
          <w:szCs w:val="24"/>
          <w:highlight w:val="none"/>
        </w:rPr>
      </w:pPr>
      <w:r>
        <w:rPr>
          <w:rFonts w:hint="eastAsia"/>
          <w:sz w:val="24"/>
          <w:szCs w:val="24"/>
          <w:highlight w:val="none"/>
        </w:rPr>
        <w:t>本货物需求及规格要求适用于本次采购项下所有货物的</w:t>
      </w:r>
      <w:r>
        <w:rPr>
          <w:rFonts w:hint="eastAsia"/>
          <w:sz w:val="24"/>
          <w:szCs w:val="24"/>
          <w:highlight w:val="none"/>
          <w:lang w:val="en-US" w:eastAsia="zh-CN"/>
        </w:rPr>
        <w:t>采购</w:t>
      </w:r>
      <w:r>
        <w:rPr>
          <w:rFonts w:hint="eastAsia"/>
          <w:sz w:val="24"/>
          <w:szCs w:val="24"/>
          <w:highlight w:val="none"/>
        </w:rPr>
        <w:t>。</w:t>
      </w:r>
    </w:p>
    <w:p w14:paraId="2A2ADF29">
      <w:pPr>
        <w:pStyle w:val="3"/>
        <w:numPr>
          <w:ilvl w:val="2"/>
          <w:numId w:val="55"/>
        </w:numPr>
        <w:spacing w:line="360" w:lineRule="auto"/>
        <w:ind w:left="0" w:firstLine="480"/>
        <w:rPr>
          <w:sz w:val="24"/>
          <w:szCs w:val="24"/>
          <w:highlight w:val="none"/>
        </w:rPr>
      </w:pPr>
      <w:r>
        <w:rPr>
          <w:rFonts w:hint="eastAsia"/>
          <w:sz w:val="24"/>
          <w:szCs w:val="24"/>
          <w:highlight w:val="none"/>
        </w:rPr>
        <w:t>标注带“★”的为关键性要求，</w:t>
      </w:r>
      <w:r>
        <w:rPr>
          <w:rFonts w:hint="eastAsia"/>
          <w:sz w:val="24"/>
          <w:szCs w:val="24"/>
          <w:highlight w:val="none"/>
          <w:lang w:val="en-US" w:eastAsia="zh-CN"/>
        </w:rPr>
        <w:t>供应商</w:t>
      </w:r>
      <w:r>
        <w:rPr>
          <w:rFonts w:hint="eastAsia"/>
          <w:sz w:val="24"/>
          <w:szCs w:val="24"/>
          <w:highlight w:val="none"/>
        </w:rPr>
        <w:t>必须逐条响应，如出现任何负偏离或不满足将视为无效</w:t>
      </w:r>
      <w:r>
        <w:rPr>
          <w:rFonts w:hint="eastAsia"/>
          <w:sz w:val="24"/>
          <w:szCs w:val="24"/>
          <w:highlight w:val="none"/>
          <w:lang w:val="en-US" w:eastAsia="zh-CN"/>
        </w:rPr>
        <w:t>响应</w:t>
      </w:r>
      <w:r>
        <w:rPr>
          <w:rFonts w:hint="eastAsia"/>
          <w:sz w:val="24"/>
          <w:szCs w:val="24"/>
          <w:highlight w:val="none"/>
        </w:rPr>
        <w:t>。</w:t>
      </w:r>
    </w:p>
    <w:p w14:paraId="427F7854">
      <w:pPr>
        <w:pStyle w:val="3"/>
        <w:numPr>
          <w:ilvl w:val="2"/>
          <w:numId w:val="55"/>
        </w:numPr>
        <w:spacing w:line="360" w:lineRule="auto"/>
        <w:ind w:left="0" w:firstLine="480"/>
        <w:rPr>
          <w:sz w:val="24"/>
          <w:szCs w:val="24"/>
          <w:highlight w:val="none"/>
        </w:rPr>
      </w:pPr>
      <w:r>
        <w:rPr>
          <w:rFonts w:hint="eastAsia"/>
          <w:sz w:val="24"/>
          <w:szCs w:val="24"/>
          <w:highlight w:val="none"/>
        </w:rPr>
        <w:t>标注带“▲”号的为重要技术参数，</w:t>
      </w:r>
      <w:r>
        <w:rPr>
          <w:rFonts w:hint="eastAsia"/>
          <w:sz w:val="24"/>
          <w:szCs w:val="24"/>
          <w:highlight w:val="none"/>
          <w:lang w:val="en-US" w:eastAsia="zh-CN"/>
        </w:rPr>
        <w:t>供应商</w:t>
      </w:r>
      <w:r>
        <w:rPr>
          <w:rFonts w:hint="eastAsia"/>
          <w:sz w:val="24"/>
          <w:szCs w:val="24"/>
          <w:highlight w:val="none"/>
        </w:rPr>
        <w:t>必须逐条响应，如出现任何负偏离或不满足将影响评分。</w:t>
      </w:r>
    </w:p>
    <w:p w14:paraId="659DFE19">
      <w:pPr>
        <w:pStyle w:val="3"/>
        <w:numPr>
          <w:ilvl w:val="2"/>
          <w:numId w:val="55"/>
        </w:numPr>
        <w:spacing w:line="360" w:lineRule="auto"/>
        <w:ind w:left="0" w:firstLine="480"/>
        <w:rPr>
          <w:sz w:val="24"/>
          <w:szCs w:val="24"/>
          <w:highlight w:val="none"/>
        </w:rPr>
      </w:pPr>
      <w:r>
        <w:rPr>
          <w:rFonts w:hint="eastAsia"/>
          <w:sz w:val="24"/>
          <w:szCs w:val="24"/>
          <w:highlight w:val="none"/>
          <w:lang w:val="en-US" w:eastAsia="zh-CN"/>
        </w:rPr>
        <w:t>供应商</w:t>
      </w:r>
      <w:r>
        <w:rPr>
          <w:rFonts w:hint="eastAsia"/>
          <w:sz w:val="24"/>
          <w:szCs w:val="24"/>
          <w:highlight w:val="none"/>
        </w:rPr>
        <w:t>须对</w:t>
      </w:r>
      <w:r>
        <w:rPr>
          <w:rFonts w:hint="eastAsia"/>
          <w:sz w:val="24"/>
          <w:szCs w:val="24"/>
          <w:highlight w:val="none"/>
          <w:lang w:val="en-US" w:eastAsia="zh-CN"/>
        </w:rPr>
        <w:t>响应</w:t>
      </w:r>
      <w:r>
        <w:rPr>
          <w:rFonts w:hint="eastAsia"/>
          <w:sz w:val="24"/>
          <w:szCs w:val="24"/>
          <w:highlight w:val="none"/>
        </w:rPr>
        <w:t>文件“项目需求”的内容(标“★”和“▲”项内容除外)作出响应，若出现负偏离或不满足将影响评分。</w:t>
      </w:r>
    </w:p>
    <w:p w14:paraId="0896F240">
      <w:pPr>
        <w:pStyle w:val="3"/>
        <w:numPr>
          <w:ilvl w:val="2"/>
          <w:numId w:val="55"/>
        </w:numPr>
        <w:spacing w:line="360" w:lineRule="auto"/>
        <w:ind w:left="0" w:firstLine="442" w:firstLineChars="0"/>
        <w:rPr>
          <w:sz w:val="24"/>
          <w:szCs w:val="24"/>
          <w:highlight w:val="none"/>
        </w:rPr>
      </w:pPr>
      <w:r>
        <w:rPr>
          <w:rFonts w:hint="eastAsia"/>
          <w:sz w:val="24"/>
          <w:szCs w:val="24"/>
          <w:highlight w:val="none"/>
        </w:rPr>
        <w:t>本项目需求未尽事宜，由双方协商确定。</w:t>
      </w:r>
    </w:p>
    <w:p w14:paraId="42CDD6D6">
      <w:pPr>
        <w:numPr>
          <w:ilvl w:val="0"/>
          <w:numId w:val="54"/>
        </w:numPr>
        <w:adjustRightInd w:val="0"/>
        <w:snapToGrid w:val="0"/>
        <w:spacing w:line="360" w:lineRule="auto"/>
        <w:outlineLvl w:val="2"/>
        <w:rPr>
          <w:b/>
          <w:sz w:val="28"/>
          <w:szCs w:val="28"/>
          <w:highlight w:val="none"/>
          <w:lang w:val="zh-CN"/>
        </w:rPr>
      </w:pPr>
      <w:r>
        <w:rPr>
          <w:rFonts w:hint="eastAsia"/>
          <w:b/>
          <w:sz w:val="28"/>
          <w:szCs w:val="28"/>
          <w:highlight w:val="none"/>
          <w:lang w:val="zh-CN"/>
        </w:rPr>
        <w:t>项目需求</w:t>
      </w:r>
    </w:p>
    <w:p w14:paraId="2848317A">
      <w:pPr>
        <w:spacing w:line="360" w:lineRule="auto"/>
        <w:ind w:firstLine="480" w:firstLineChars="200"/>
        <w:rPr>
          <w:rFonts w:hint="eastAsia" w:ascii="宋体" w:hAnsi="宋体" w:eastAsia="宋体" w:cs="MicrosoftYaHei"/>
          <w:strike w:val="0"/>
          <w:sz w:val="24"/>
          <w:szCs w:val="24"/>
        </w:rPr>
      </w:pPr>
      <w:r>
        <w:rPr>
          <w:rFonts w:hint="eastAsia"/>
          <w:sz w:val="24"/>
          <w:szCs w:val="24"/>
        </w:rPr>
        <w:t>我校拟采购</w:t>
      </w:r>
      <w:r>
        <w:rPr>
          <w:rFonts w:hint="eastAsia"/>
          <w:sz w:val="24"/>
          <w:szCs w:val="24"/>
          <w:lang w:val="en-US" w:eastAsia="zh-CN"/>
        </w:rPr>
        <w:t>数</w:t>
      </w:r>
      <w:r>
        <w:rPr>
          <w:rFonts w:hint="eastAsia" w:ascii="宋体" w:hAnsi="宋体" w:cs="MicrosoftYaHei"/>
          <w:sz w:val="24"/>
          <w:szCs w:val="24"/>
        </w:rPr>
        <w:t>学计算软件校园版</w:t>
      </w:r>
      <w:r>
        <w:rPr>
          <w:rFonts w:hint="eastAsia"/>
          <w:sz w:val="24"/>
          <w:szCs w:val="24"/>
        </w:rPr>
        <w:t>正版授权，是工程、数学、金融建模以及科研工作中不可或缺的基本工具，包含丰富的工具箱功能且涵盖多个学科，广泛于应用信号处理和通信、图像和视频处理、控制系统、测试和测量、计算金融学及计算生物学等众多应用领域，涉及对于大数据分析、超算、集群并行计算、数值计算等功能，要求具有强大的科学计算及符号计算能力、方便灵活的矩阵操作、多样化的可视化功能，具备与多种高级语言混合编程的接口和交互式环境。</w:t>
      </w:r>
    </w:p>
    <w:p w14:paraId="68C07B34">
      <w:pPr>
        <w:pStyle w:val="19"/>
      </w:pPr>
    </w:p>
    <w:p w14:paraId="12C245CF">
      <w:pPr>
        <w:numPr>
          <w:ilvl w:val="0"/>
          <w:numId w:val="54"/>
        </w:numPr>
        <w:adjustRightInd w:val="0"/>
        <w:snapToGrid w:val="0"/>
        <w:spacing w:line="360" w:lineRule="auto"/>
        <w:outlineLvl w:val="2"/>
        <w:rPr>
          <w:sz w:val="24"/>
          <w:szCs w:val="24"/>
          <w:highlight w:val="none"/>
          <w:lang w:bidi="ar"/>
        </w:rPr>
      </w:pPr>
      <w:r>
        <w:rPr>
          <w:rFonts w:hint="eastAsia"/>
          <w:b/>
          <w:sz w:val="28"/>
          <w:szCs w:val="28"/>
          <w:highlight w:val="none"/>
          <w:lang w:val="zh-CN"/>
        </w:rPr>
        <w:t>货物清单</w:t>
      </w:r>
    </w:p>
    <w:tbl>
      <w:tblPr>
        <w:tblStyle w:val="45"/>
        <w:tblW w:w="3995"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014"/>
        <w:gridCol w:w="2196"/>
        <w:gridCol w:w="1256"/>
        <w:gridCol w:w="1169"/>
        <w:gridCol w:w="2103"/>
      </w:tblGrid>
      <w:tr w14:paraId="3CEB9F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55" w:type="pct"/>
            <w:vAlign w:val="center"/>
          </w:tcPr>
          <w:p w14:paraId="3E1CB7EB">
            <w:pPr>
              <w:widowControl/>
              <w:jc w:val="center"/>
              <w:rPr>
                <w:rFonts w:hint="eastAsia" w:ascii="宋体" w:hAnsi="宋体"/>
                <w:b/>
                <w:bCs/>
                <w:szCs w:val="21"/>
                <w:highlight w:val="none"/>
              </w:rPr>
            </w:pPr>
            <w:r>
              <w:rPr>
                <w:rFonts w:ascii="宋体" w:hAnsi="宋体"/>
                <w:b/>
                <w:bCs/>
                <w:szCs w:val="21"/>
                <w:highlight w:val="none"/>
              </w:rPr>
              <w:t>序号</w:t>
            </w:r>
          </w:p>
        </w:tc>
        <w:tc>
          <w:tcPr>
            <w:tcW w:w="1418" w:type="pct"/>
            <w:vAlign w:val="center"/>
          </w:tcPr>
          <w:p w14:paraId="4620B3D7">
            <w:pPr>
              <w:widowControl/>
              <w:jc w:val="center"/>
              <w:rPr>
                <w:rFonts w:hint="eastAsia" w:ascii="宋体" w:hAnsi="宋体"/>
                <w:b/>
                <w:bCs/>
                <w:szCs w:val="21"/>
                <w:highlight w:val="none"/>
              </w:rPr>
            </w:pPr>
            <w:r>
              <w:rPr>
                <w:rFonts w:hint="eastAsia" w:ascii="宋体" w:hAnsi="宋体"/>
                <w:b/>
                <w:bCs/>
                <w:szCs w:val="21"/>
                <w:highlight w:val="none"/>
              </w:rPr>
              <w:t>产品</w:t>
            </w:r>
          </w:p>
        </w:tc>
        <w:tc>
          <w:tcPr>
            <w:tcW w:w="811" w:type="pct"/>
            <w:vAlign w:val="center"/>
          </w:tcPr>
          <w:p w14:paraId="47D83E81">
            <w:pPr>
              <w:widowControl/>
              <w:jc w:val="center"/>
              <w:rPr>
                <w:rFonts w:hint="eastAsia" w:ascii="宋体" w:hAnsi="宋体"/>
                <w:b/>
                <w:bCs/>
                <w:szCs w:val="21"/>
                <w:highlight w:val="none"/>
              </w:rPr>
            </w:pPr>
            <w:r>
              <w:rPr>
                <w:rFonts w:ascii="宋体" w:hAnsi="宋体"/>
                <w:b/>
                <w:bCs/>
                <w:szCs w:val="21"/>
                <w:highlight w:val="none"/>
              </w:rPr>
              <w:t>数量</w:t>
            </w:r>
          </w:p>
        </w:tc>
        <w:tc>
          <w:tcPr>
            <w:tcW w:w="755" w:type="pct"/>
            <w:vAlign w:val="center"/>
          </w:tcPr>
          <w:p w14:paraId="575B9739">
            <w:pPr>
              <w:widowControl/>
              <w:jc w:val="center"/>
              <w:rPr>
                <w:rFonts w:hint="eastAsia" w:ascii="宋体" w:hAnsi="宋体"/>
                <w:b/>
                <w:bCs/>
                <w:szCs w:val="21"/>
                <w:highlight w:val="none"/>
              </w:rPr>
            </w:pPr>
            <w:r>
              <w:rPr>
                <w:rFonts w:hint="eastAsia" w:ascii="宋体" w:hAnsi="宋体"/>
                <w:b/>
                <w:bCs/>
                <w:szCs w:val="21"/>
                <w:highlight w:val="none"/>
              </w:rPr>
              <w:t>是否核心产品</w:t>
            </w:r>
          </w:p>
        </w:tc>
        <w:tc>
          <w:tcPr>
            <w:tcW w:w="1358" w:type="pct"/>
            <w:vAlign w:val="center"/>
          </w:tcPr>
          <w:p w14:paraId="4B4F3A8D">
            <w:pPr>
              <w:widowControl/>
              <w:jc w:val="center"/>
              <w:rPr>
                <w:rFonts w:hint="eastAsia" w:ascii="宋体" w:hAnsi="宋体"/>
                <w:b/>
                <w:bCs/>
                <w:szCs w:val="21"/>
                <w:highlight w:val="none"/>
              </w:rPr>
            </w:pPr>
            <w:r>
              <w:rPr>
                <w:rFonts w:hint="eastAsia" w:ascii="宋体" w:hAnsi="宋体"/>
                <w:b/>
                <w:bCs/>
                <w:szCs w:val="21"/>
                <w:highlight w:val="none"/>
              </w:rPr>
              <w:t>总价预算（万元）</w:t>
            </w:r>
          </w:p>
        </w:tc>
      </w:tr>
      <w:tr w14:paraId="3F120D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8" w:hRule="atLeast"/>
          <w:jc w:val="center"/>
        </w:trPr>
        <w:tc>
          <w:tcPr>
            <w:tcW w:w="655" w:type="pct"/>
            <w:vAlign w:val="center"/>
          </w:tcPr>
          <w:p w14:paraId="5BA4116F">
            <w:pPr>
              <w:widowControl/>
              <w:jc w:val="center"/>
              <w:rPr>
                <w:rFonts w:hint="eastAsia" w:ascii="宋体" w:hAnsi="宋体"/>
                <w:szCs w:val="21"/>
                <w:highlight w:val="none"/>
              </w:rPr>
            </w:pPr>
            <w:r>
              <w:rPr>
                <w:rFonts w:ascii="宋体" w:hAnsi="宋体"/>
                <w:szCs w:val="21"/>
                <w:highlight w:val="none"/>
              </w:rPr>
              <w:t>1</w:t>
            </w:r>
          </w:p>
        </w:tc>
        <w:tc>
          <w:tcPr>
            <w:tcW w:w="1418" w:type="pct"/>
            <w:vAlign w:val="center"/>
          </w:tcPr>
          <w:p w14:paraId="23529206">
            <w:pPr>
              <w:widowControl/>
              <w:jc w:val="center"/>
              <w:rPr>
                <w:rFonts w:hint="eastAsia" w:ascii="宋体" w:hAnsi="宋体"/>
                <w:szCs w:val="21"/>
                <w:highlight w:val="none"/>
              </w:rPr>
            </w:pPr>
            <w:r>
              <w:rPr>
                <w:rFonts w:hint="eastAsia"/>
                <w:sz w:val="22"/>
                <w:szCs w:val="21"/>
                <w:highlight w:val="none"/>
                <w:lang w:val="en-US" w:eastAsia="zh-CN" w:bidi="en-US"/>
              </w:rPr>
              <w:t>数学</w:t>
            </w:r>
            <w:r>
              <w:rPr>
                <w:rFonts w:hint="eastAsia"/>
                <w:sz w:val="22"/>
                <w:szCs w:val="21"/>
                <w:highlight w:val="none"/>
                <w:lang w:eastAsia="zh-CN" w:bidi="en-US"/>
              </w:rPr>
              <w:t>计算仿真软件</w:t>
            </w:r>
          </w:p>
        </w:tc>
        <w:tc>
          <w:tcPr>
            <w:tcW w:w="811" w:type="pct"/>
            <w:vAlign w:val="center"/>
          </w:tcPr>
          <w:p w14:paraId="3286C5FB">
            <w:pPr>
              <w:widowControl/>
              <w:jc w:val="center"/>
              <w:rPr>
                <w:rFonts w:hint="eastAsia" w:ascii="宋体" w:hAnsi="宋体" w:cs="宋体"/>
                <w:szCs w:val="21"/>
                <w:highlight w:val="none"/>
              </w:rPr>
            </w:pPr>
            <w:r>
              <w:rPr>
                <w:rFonts w:hint="eastAsia" w:ascii="宋体" w:hAnsi="宋体" w:cs="宋体"/>
                <w:szCs w:val="21"/>
                <w:highlight w:val="none"/>
              </w:rPr>
              <w:t>1套</w:t>
            </w:r>
          </w:p>
        </w:tc>
        <w:tc>
          <w:tcPr>
            <w:tcW w:w="755" w:type="pct"/>
            <w:vAlign w:val="center"/>
          </w:tcPr>
          <w:p w14:paraId="041AD2EE">
            <w:pPr>
              <w:widowControl/>
              <w:jc w:val="center"/>
              <w:rPr>
                <w:rFonts w:hint="eastAsia" w:ascii="宋体" w:hAnsi="宋体" w:cs="宋体"/>
                <w:szCs w:val="21"/>
                <w:highlight w:val="none"/>
              </w:rPr>
            </w:pPr>
            <w:r>
              <w:rPr>
                <w:rFonts w:hint="eastAsia" w:ascii="宋体" w:hAnsi="宋体" w:cs="宋体"/>
                <w:szCs w:val="21"/>
                <w:highlight w:val="none"/>
              </w:rPr>
              <w:t>是</w:t>
            </w:r>
          </w:p>
        </w:tc>
        <w:tc>
          <w:tcPr>
            <w:tcW w:w="1358" w:type="pct"/>
            <w:vAlign w:val="center"/>
          </w:tcPr>
          <w:p w14:paraId="49B838BC">
            <w:pPr>
              <w:widowControl/>
              <w:jc w:val="center"/>
              <w:rPr>
                <w:rFonts w:hint="eastAsia" w:ascii="宋体" w:hAnsi="宋体" w:cs="宋体"/>
                <w:szCs w:val="21"/>
                <w:highlight w:val="none"/>
              </w:rPr>
            </w:pPr>
            <w:r>
              <w:rPr>
                <w:rFonts w:hint="eastAsia" w:ascii="宋体" w:hAnsi="宋体" w:cs="宋体"/>
                <w:szCs w:val="21"/>
                <w:highlight w:val="none"/>
                <w:lang w:val="en-US" w:eastAsia="zh-CN"/>
              </w:rPr>
              <w:t>53.6</w:t>
            </w:r>
          </w:p>
        </w:tc>
      </w:tr>
    </w:tbl>
    <w:p w14:paraId="5E8373C4">
      <w:pPr>
        <w:keepNext w:val="0"/>
        <w:keepLines w:val="0"/>
        <w:pageBreakBefore w:val="0"/>
        <w:widowControl w:val="0"/>
        <w:numPr>
          <w:ilvl w:val="0"/>
          <w:numId w:val="54"/>
        </w:numPr>
        <w:kinsoku/>
        <w:wordWrap/>
        <w:overflowPunct/>
        <w:topLinePunct w:val="0"/>
        <w:autoSpaceDE/>
        <w:autoSpaceDN/>
        <w:bidi w:val="0"/>
        <w:adjustRightInd w:val="0"/>
        <w:snapToGrid w:val="0"/>
        <w:spacing w:line="360" w:lineRule="auto"/>
        <w:ind w:firstLine="420"/>
        <w:textAlignment w:val="auto"/>
        <w:outlineLvl w:val="2"/>
        <w:rPr>
          <w:rFonts w:hint="eastAsia"/>
          <w:b/>
          <w:sz w:val="28"/>
          <w:szCs w:val="28"/>
          <w:highlight w:val="none"/>
          <w:lang w:val="zh-CN"/>
        </w:rPr>
      </w:pPr>
      <w:r>
        <w:rPr>
          <w:rFonts w:hint="eastAsia"/>
          <w:b/>
          <w:sz w:val="28"/>
          <w:szCs w:val="28"/>
          <w:highlight w:val="none"/>
          <w:lang w:val="zh-CN"/>
        </w:rPr>
        <w:t>主要技术参数要求</w:t>
      </w:r>
    </w:p>
    <w:p w14:paraId="702E19C7">
      <w:pPr>
        <w:pStyle w:val="277"/>
        <w:spacing w:line="360" w:lineRule="auto"/>
        <w:rPr>
          <w:rFonts w:hint="eastAsia" w:ascii="宋体" w:hAnsi="宋体" w:eastAsia="宋体" w:cs="MicrosoftYaHei"/>
          <w:strike w:val="0"/>
          <w:dstrike w:val="0"/>
          <w:sz w:val="24"/>
          <w:szCs w:val="24"/>
        </w:rPr>
      </w:pPr>
      <w:r>
        <w:rPr>
          <w:rFonts w:ascii="宋体" w:hAnsi="宋体" w:eastAsia="宋体" w:cs="宋体"/>
          <w:strike w:val="0"/>
          <w:dstrike w:val="0"/>
          <w:sz w:val="24"/>
          <w:szCs w:val="24"/>
        </w:rPr>
        <w:t>1</w:t>
      </w:r>
      <w:r>
        <w:rPr>
          <w:rFonts w:hint="eastAsia" w:ascii="宋体" w:hAnsi="宋体" w:eastAsia="宋体" w:cs="MicrosoftYaHei"/>
          <w:strike w:val="0"/>
          <w:dstrike w:val="0"/>
          <w:sz w:val="24"/>
          <w:szCs w:val="24"/>
        </w:rPr>
        <w:t>、</w:t>
      </w:r>
      <w:r>
        <w:rPr>
          <w:rFonts w:hint="eastAsia" w:ascii="宋体" w:hAnsi="宋体" w:cs="MicrosoftYaHei"/>
          <w:strike w:val="0"/>
          <w:dstrike w:val="0"/>
          <w:sz w:val="24"/>
          <w:szCs w:val="24"/>
          <w:lang w:val="en-US" w:eastAsia="zh-CN"/>
        </w:rPr>
        <w:t>数学</w:t>
      </w:r>
      <w:r>
        <w:rPr>
          <w:rFonts w:hint="eastAsia" w:ascii="宋体" w:hAnsi="宋体" w:eastAsia="宋体" w:cs="MicrosoftYaHei"/>
          <w:strike w:val="0"/>
          <w:dstrike w:val="0"/>
          <w:sz w:val="24"/>
          <w:szCs w:val="24"/>
        </w:rPr>
        <w:t>计算软件校园版，以整所高校为授权对象的高校授权模式，满足全部在校师生、实验室的软件需求。</w:t>
      </w:r>
    </w:p>
    <w:p w14:paraId="339FDB6F">
      <w:pPr>
        <w:pStyle w:val="277"/>
        <w:spacing w:line="360" w:lineRule="auto"/>
        <w:rPr>
          <w:rFonts w:hint="eastAsia" w:ascii="宋体" w:hAnsi="宋体" w:eastAsia="宋体" w:cs="MicrosoftYaHei"/>
          <w:strike w:val="0"/>
          <w:sz w:val="24"/>
          <w:szCs w:val="24"/>
        </w:rPr>
      </w:pPr>
      <w:r>
        <w:rPr>
          <w:rFonts w:ascii="宋体" w:hAnsi="宋体" w:eastAsia="宋体" w:cs="宋体"/>
          <w:strike w:val="0"/>
          <w:sz w:val="24"/>
          <w:szCs w:val="24"/>
        </w:rPr>
        <w:t>2</w:t>
      </w:r>
      <w:r>
        <w:rPr>
          <w:rFonts w:hint="eastAsia" w:ascii="宋体" w:hAnsi="宋体" w:eastAsia="宋体" w:cs="MicrosoftYaHei"/>
          <w:strike w:val="0"/>
          <w:sz w:val="24"/>
          <w:szCs w:val="24"/>
        </w:rPr>
        <w:t>、主要用途：用于教学、科研中科学计算、数据分析、工程仿真的实现。</w:t>
      </w:r>
    </w:p>
    <w:p w14:paraId="16B1F9C8">
      <w:pPr>
        <w:pStyle w:val="277"/>
        <w:spacing w:line="360" w:lineRule="auto"/>
        <w:rPr>
          <w:rFonts w:hint="eastAsia" w:ascii="宋体" w:hAnsi="宋体" w:eastAsia="宋体" w:cs="MicrosoftYaHei"/>
          <w:sz w:val="24"/>
          <w:szCs w:val="24"/>
        </w:rPr>
      </w:pPr>
      <w:r>
        <w:rPr>
          <w:rFonts w:ascii="宋体" w:hAnsi="宋体" w:eastAsia="宋体" w:cs="宋体"/>
          <w:sz w:val="24"/>
          <w:szCs w:val="24"/>
        </w:rPr>
        <w:t>3</w:t>
      </w:r>
      <w:r>
        <w:rPr>
          <w:rFonts w:hint="eastAsia" w:ascii="宋体" w:hAnsi="宋体" w:eastAsia="宋体" w:cs="MicrosoftYaHei"/>
          <w:sz w:val="24"/>
          <w:szCs w:val="24"/>
        </w:rPr>
        <w:t>、技术方案：需包含</w:t>
      </w:r>
      <w:r>
        <w:rPr>
          <w:rFonts w:hint="eastAsia" w:ascii="宋体" w:hAnsi="宋体" w:cs="MicrosoftYaHei"/>
          <w:strike w:val="0"/>
          <w:dstrike w:val="0"/>
          <w:sz w:val="24"/>
          <w:szCs w:val="24"/>
          <w:lang w:val="en-US" w:eastAsia="zh-CN"/>
        </w:rPr>
        <w:t>数学</w:t>
      </w:r>
      <w:r>
        <w:rPr>
          <w:rFonts w:hint="eastAsia" w:ascii="宋体" w:hAnsi="宋体" w:eastAsia="宋体" w:cs="MicrosoftYaHei"/>
          <w:sz w:val="24"/>
          <w:szCs w:val="24"/>
        </w:rPr>
        <w:t>计算软件全部模块。</w:t>
      </w:r>
    </w:p>
    <w:p w14:paraId="44C839EF">
      <w:pPr>
        <w:pStyle w:val="277"/>
        <w:spacing w:line="360" w:lineRule="auto"/>
        <w:rPr>
          <w:rFonts w:hint="eastAsia" w:ascii="宋体" w:hAnsi="宋体" w:eastAsia="宋体" w:cs="MicrosoftYaHei"/>
          <w:sz w:val="24"/>
          <w:szCs w:val="24"/>
        </w:rPr>
      </w:pPr>
      <w:r>
        <w:rPr>
          <w:rFonts w:ascii="宋体" w:hAnsi="宋体" w:eastAsia="宋体" w:cs="宋体"/>
          <w:sz w:val="24"/>
          <w:szCs w:val="24"/>
        </w:rPr>
        <w:t>4</w:t>
      </w:r>
      <w:r>
        <w:rPr>
          <w:rFonts w:hint="eastAsia" w:ascii="宋体" w:hAnsi="宋体" w:eastAsia="宋体" w:cs="MicrosoftYaHei"/>
          <w:sz w:val="24"/>
          <w:szCs w:val="24"/>
        </w:rPr>
        <w:t>、产品或服务的形式：对整个学校</w:t>
      </w:r>
      <w:r>
        <w:rPr>
          <w:rFonts w:ascii="宋体" w:hAnsi="宋体" w:eastAsia="宋体" w:cs="宋体"/>
          <w:sz w:val="24"/>
          <w:szCs w:val="24"/>
        </w:rPr>
        <w:t>1</w:t>
      </w:r>
      <w:r>
        <w:rPr>
          <w:rFonts w:hint="eastAsia" w:ascii="宋体" w:hAnsi="宋体" w:eastAsia="宋体" w:cs="MicrosoftYaHei"/>
          <w:sz w:val="24"/>
          <w:szCs w:val="24"/>
        </w:rPr>
        <w:t>年的正版授权，授权时间：2026年8月1日-2027年7月31日，授权期间，全校师生将获得正版软件的使用权，并享有正版软件应该具有的技术、培训、升级等服务。</w:t>
      </w:r>
    </w:p>
    <w:p w14:paraId="0ED59462">
      <w:pPr>
        <w:pStyle w:val="277"/>
        <w:spacing w:line="360" w:lineRule="auto"/>
        <w:rPr>
          <w:rFonts w:hint="eastAsia" w:ascii="宋体" w:hAnsi="宋体" w:eastAsia="宋体" w:cs="MicrosoftYaHei"/>
          <w:sz w:val="24"/>
          <w:szCs w:val="24"/>
        </w:rPr>
      </w:pPr>
      <w:r>
        <w:rPr>
          <w:rFonts w:hint="eastAsia" w:ascii="宋体" w:hAnsi="宋体" w:eastAsia="宋体" w:cs="MicrosoftYaHei"/>
          <w:sz w:val="24"/>
          <w:szCs w:val="24"/>
        </w:rPr>
        <w:t>如果</w:t>
      </w:r>
      <w:r>
        <w:rPr>
          <w:rFonts w:ascii="宋体" w:hAnsi="宋体" w:eastAsia="宋体" w:cs="宋体"/>
          <w:sz w:val="24"/>
          <w:szCs w:val="24"/>
        </w:rPr>
        <w:t>1</w:t>
      </w:r>
      <w:r>
        <w:rPr>
          <w:rFonts w:hint="eastAsia" w:ascii="宋体" w:hAnsi="宋体" w:eastAsia="宋体" w:cs="MicrosoftYaHei"/>
          <w:sz w:val="24"/>
          <w:szCs w:val="24"/>
        </w:rPr>
        <w:t>年期满后，正常续费，将继续享有正版授权和相应的服务，否则，授权和服务都终止。</w:t>
      </w:r>
    </w:p>
    <w:p w14:paraId="32AA2462">
      <w:pPr>
        <w:pStyle w:val="277"/>
        <w:spacing w:line="360" w:lineRule="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、具体功能如下：</w:t>
      </w:r>
    </w:p>
    <w:p w14:paraId="44428098">
      <w:pPr>
        <w:pStyle w:val="277"/>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要求有以下主要特性：</w:t>
      </w:r>
    </w:p>
    <w:p w14:paraId="464C1B83">
      <w:pPr>
        <w:pStyle w:val="277"/>
        <w:numPr>
          <w:ilvl w:val="0"/>
          <w:numId w:val="56"/>
        </w:numPr>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sz w:val="24"/>
          <w:szCs w:val="24"/>
        </w:rPr>
        <w:t>可用于数值计算、可视化和应用程序开发的高级语言</w:t>
      </w:r>
    </w:p>
    <w:p w14:paraId="70C857B0">
      <w:pPr>
        <w:pStyle w:val="277"/>
        <w:numPr>
          <w:ilvl w:val="0"/>
          <w:numId w:val="56"/>
        </w:numPr>
        <w:spacing w:line="360" w:lineRule="auto"/>
        <w:ind w:left="0" w:leftChars="0" w:firstLine="400" w:firstLineChars="0"/>
        <w:rPr>
          <w:rFonts w:hint="eastAsia" w:ascii="宋体" w:hAnsi="宋体" w:eastAsia="宋体" w:cs="宋体"/>
          <w:color w:val="auto"/>
          <w:sz w:val="24"/>
          <w:szCs w:val="24"/>
        </w:rPr>
      </w:pPr>
      <w:r>
        <w:rPr>
          <w:rFonts w:hint="eastAsia" w:ascii="宋体" w:hAnsi="宋体" w:eastAsia="宋体" w:cs="宋体"/>
          <w:color w:val="auto"/>
          <w:sz w:val="24"/>
          <w:szCs w:val="24"/>
        </w:rPr>
        <w:t>可实现迭代式探查、设计及问题求解的交互式环境</w:t>
      </w:r>
    </w:p>
    <w:p w14:paraId="50D8F8BE">
      <w:pPr>
        <w:pStyle w:val="277"/>
        <w:numPr>
          <w:ilvl w:val="0"/>
          <w:numId w:val="56"/>
        </w:numPr>
        <w:spacing w:line="360" w:lineRule="auto"/>
        <w:ind w:left="0" w:leftChars="0" w:firstLine="400" w:firstLineChars="0"/>
        <w:rPr>
          <w:rFonts w:hint="eastAsia" w:ascii="宋体" w:hAnsi="宋体" w:eastAsia="宋体" w:cs="宋体"/>
          <w:color w:val="auto"/>
          <w:sz w:val="24"/>
          <w:szCs w:val="24"/>
        </w:rPr>
      </w:pPr>
      <w:r>
        <w:rPr>
          <w:rFonts w:hint="eastAsia" w:ascii="宋体" w:hAnsi="宋体" w:eastAsia="宋体" w:cs="宋体"/>
          <w:color w:val="auto"/>
          <w:sz w:val="24"/>
          <w:szCs w:val="24"/>
        </w:rPr>
        <w:t>可用于线性代数、统计、傅立叶分析、筛选、优化、数值积分以及常微分方程求解的数学函数</w:t>
      </w:r>
    </w:p>
    <w:p w14:paraId="2ECB69F7">
      <w:pPr>
        <w:pStyle w:val="277"/>
        <w:numPr>
          <w:ilvl w:val="0"/>
          <w:numId w:val="56"/>
        </w:numPr>
        <w:spacing w:line="360" w:lineRule="auto"/>
        <w:ind w:left="0" w:leftChars="0" w:firstLine="400" w:firstLineChars="0"/>
        <w:rPr>
          <w:rFonts w:hint="eastAsia" w:ascii="宋体" w:hAnsi="宋体" w:eastAsia="宋体" w:cs="宋体"/>
          <w:color w:val="auto"/>
          <w:sz w:val="24"/>
          <w:szCs w:val="24"/>
        </w:rPr>
      </w:pPr>
      <w:r>
        <w:rPr>
          <w:rFonts w:hint="eastAsia" w:ascii="宋体" w:hAnsi="宋体" w:eastAsia="宋体" w:cs="宋体"/>
          <w:color w:val="auto"/>
          <w:sz w:val="24"/>
          <w:szCs w:val="24"/>
        </w:rPr>
        <w:t>可用于数据可视化的内置图形以及用于创建自定义绘图的工具</w:t>
      </w:r>
    </w:p>
    <w:p w14:paraId="4CACF382">
      <w:pPr>
        <w:pStyle w:val="277"/>
        <w:numPr>
          <w:ilvl w:val="0"/>
          <w:numId w:val="56"/>
        </w:numPr>
        <w:spacing w:line="360" w:lineRule="auto"/>
        <w:ind w:left="0" w:leftChars="0" w:firstLine="400" w:firstLineChars="0"/>
        <w:rPr>
          <w:rFonts w:hint="eastAsia" w:ascii="宋体" w:hAnsi="宋体" w:eastAsia="宋体" w:cs="宋体"/>
          <w:color w:val="auto"/>
          <w:sz w:val="24"/>
          <w:szCs w:val="24"/>
        </w:rPr>
      </w:pPr>
      <w:r>
        <w:rPr>
          <w:rFonts w:hint="eastAsia" w:ascii="宋体" w:hAnsi="宋体" w:eastAsia="宋体" w:cs="宋体"/>
          <w:color w:val="auto"/>
          <w:sz w:val="24"/>
          <w:szCs w:val="24"/>
        </w:rPr>
        <w:t>可用于改进代码质量和可维护性并最大限度地发挥性能的开发工具</w:t>
      </w:r>
    </w:p>
    <w:p w14:paraId="2206A6B5">
      <w:pPr>
        <w:pStyle w:val="277"/>
        <w:numPr>
          <w:ilvl w:val="0"/>
          <w:numId w:val="56"/>
        </w:numPr>
        <w:spacing w:line="360" w:lineRule="auto"/>
        <w:ind w:left="0" w:leftChars="0" w:firstLine="400" w:firstLineChars="0"/>
        <w:rPr>
          <w:rFonts w:hint="eastAsia" w:ascii="宋体" w:hAnsi="宋体" w:eastAsia="宋体" w:cs="宋体"/>
          <w:color w:val="auto"/>
          <w:sz w:val="24"/>
          <w:szCs w:val="24"/>
        </w:rPr>
      </w:pPr>
      <w:r>
        <w:rPr>
          <w:rFonts w:hint="eastAsia" w:ascii="宋体" w:hAnsi="宋体" w:eastAsia="宋体" w:cs="宋体"/>
          <w:color w:val="auto"/>
          <w:sz w:val="24"/>
          <w:szCs w:val="24"/>
        </w:rPr>
        <w:t>可用于构建自定义图形界面应用程序的工具</w:t>
      </w:r>
    </w:p>
    <w:p w14:paraId="7436377B">
      <w:pPr>
        <w:pStyle w:val="277"/>
        <w:numPr>
          <w:ilvl w:val="0"/>
          <w:numId w:val="56"/>
        </w:numPr>
        <w:spacing w:line="360" w:lineRule="auto"/>
        <w:ind w:left="0" w:leftChars="0" w:firstLine="400" w:firstLineChars="0"/>
        <w:rPr>
          <w:rFonts w:hint="eastAsia" w:ascii="宋体" w:hAnsi="宋体" w:eastAsia="宋体" w:cs="宋体"/>
          <w:color w:val="auto"/>
          <w:sz w:val="24"/>
          <w:szCs w:val="24"/>
        </w:rPr>
      </w:pPr>
      <w:r>
        <w:rPr>
          <w:rFonts w:hint="eastAsia" w:ascii="宋体" w:hAnsi="宋体" w:eastAsia="宋体" w:cs="宋体"/>
          <w:color w:val="auto"/>
          <w:sz w:val="24"/>
          <w:szCs w:val="24"/>
        </w:rPr>
        <w:t>可实现基于软件的算法与外部应用程序和语言（如</w:t>
      </w:r>
      <w:r>
        <w:rPr>
          <w:rFonts w:ascii="宋体" w:hAnsi="宋体" w:eastAsia="宋体" w:cs="宋体"/>
          <w:color w:val="auto"/>
          <w:sz w:val="24"/>
          <w:szCs w:val="24"/>
        </w:rPr>
        <w:t xml:space="preserve"> C</w:t>
      </w:r>
      <w:r>
        <w:rPr>
          <w:rFonts w:hint="eastAsia" w:ascii="宋体" w:hAnsi="宋体" w:eastAsia="宋体" w:cs="宋体"/>
          <w:color w:val="auto"/>
          <w:sz w:val="24"/>
          <w:szCs w:val="24"/>
        </w:rPr>
        <w:t>、</w:t>
      </w:r>
      <w:r>
        <w:rPr>
          <w:rFonts w:ascii="宋体" w:hAnsi="宋体" w:eastAsia="宋体" w:cs="宋体"/>
          <w:color w:val="auto"/>
          <w:sz w:val="24"/>
          <w:szCs w:val="24"/>
        </w:rPr>
        <w:t xml:space="preserve"> Java</w:t>
      </w:r>
      <w:r>
        <w:rPr>
          <w:rFonts w:hint="eastAsia" w:ascii="宋体" w:hAnsi="宋体" w:eastAsia="宋体" w:cs="宋体"/>
          <w:color w:val="auto"/>
          <w:sz w:val="24"/>
          <w:szCs w:val="24"/>
        </w:rPr>
        <w:t>、</w:t>
      </w:r>
      <w:r>
        <w:rPr>
          <w:rFonts w:ascii="宋体" w:hAnsi="宋体" w:eastAsia="宋体" w:cs="宋体"/>
          <w:color w:val="auto"/>
          <w:sz w:val="24"/>
          <w:szCs w:val="24"/>
        </w:rPr>
        <w:t xml:space="preserve"> .NET </w:t>
      </w:r>
      <w:r>
        <w:rPr>
          <w:rFonts w:hint="eastAsia" w:ascii="宋体" w:hAnsi="宋体" w:eastAsia="宋体" w:cs="宋体"/>
          <w:color w:val="auto"/>
          <w:sz w:val="24"/>
          <w:szCs w:val="24"/>
        </w:rPr>
        <w:t>以及</w:t>
      </w:r>
      <w:r>
        <w:rPr>
          <w:rFonts w:ascii="宋体" w:hAnsi="宋体" w:eastAsia="宋体" w:cs="宋体"/>
          <w:color w:val="auto"/>
          <w:sz w:val="24"/>
          <w:szCs w:val="24"/>
        </w:rPr>
        <w:t>Microsoft Excel</w:t>
      </w:r>
      <w:r>
        <w:rPr>
          <w:rFonts w:hint="eastAsia" w:ascii="宋体" w:hAnsi="宋体" w:eastAsia="宋体" w:cs="宋体"/>
          <w:color w:val="auto"/>
          <w:sz w:val="24"/>
          <w:szCs w:val="24"/>
        </w:rPr>
        <w:t>）集成的函数</w:t>
      </w:r>
    </w:p>
    <w:p w14:paraId="5EFB5FB2">
      <w:pPr>
        <w:pStyle w:val="277"/>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要求具备以下功能：</w:t>
      </w:r>
    </w:p>
    <w:p w14:paraId="6C930CCC">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1）数值计算</w:t>
      </w:r>
    </w:p>
    <w:p w14:paraId="605EE5D8">
      <w:pPr>
        <w:pStyle w:val="277"/>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提供一系列用于分析数据、开发算法和创建模型的数值计算方法。包括用以支持常见的工程设计和科学运算的数学函数。核心的数学函数采用处理器优化库，可以快速地执行向量运算和矩阵运算，提供各种专业领域的函数，如统计、优化、信号分析以及机器学习。</w:t>
      </w:r>
    </w:p>
    <w:p w14:paraId="33A47380">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具体可采用的方法包括：</w:t>
      </w:r>
    </w:p>
    <w:p w14:paraId="46EFBBC8">
      <w:pPr>
        <w:pStyle w:val="277"/>
        <w:numPr>
          <w:ilvl w:val="0"/>
          <w:numId w:val="57"/>
        </w:numPr>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sz w:val="24"/>
          <w:szCs w:val="24"/>
        </w:rPr>
        <w:t>插值与回归</w:t>
      </w:r>
    </w:p>
    <w:p w14:paraId="7603D007">
      <w:pPr>
        <w:pStyle w:val="277"/>
        <w:numPr>
          <w:ilvl w:val="0"/>
          <w:numId w:val="57"/>
        </w:numPr>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sz w:val="24"/>
          <w:szCs w:val="24"/>
        </w:rPr>
        <w:t>微分与积分</w:t>
      </w:r>
    </w:p>
    <w:p w14:paraId="0B509DB9">
      <w:pPr>
        <w:pStyle w:val="277"/>
        <w:numPr>
          <w:ilvl w:val="0"/>
          <w:numId w:val="57"/>
        </w:numPr>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sz w:val="24"/>
          <w:szCs w:val="24"/>
        </w:rPr>
        <w:t>线性方程组</w:t>
      </w:r>
    </w:p>
    <w:p w14:paraId="2EBF7B61">
      <w:pPr>
        <w:pStyle w:val="277"/>
        <w:numPr>
          <w:ilvl w:val="0"/>
          <w:numId w:val="57"/>
        </w:numPr>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sz w:val="24"/>
          <w:szCs w:val="24"/>
        </w:rPr>
        <w:t>傅立叶分析</w:t>
      </w:r>
    </w:p>
    <w:p w14:paraId="02ED026C">
      <w:pPr>
        <w:pStyle w:val="277"/>
        <w:numPr>
          <w:ilvl w:val="0"/>
          <w:numId w:val="57"/>
        </w:numPr>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sz w:val="24"/>
          <w:szCs w:val="24"/>
        </w:rPr>
        <w:t>特征值与奇异值</w:t>
      </w:r>
    </w:p>
    <w:p w14:paraId="598295F7">
      <w:pPr>
        <w:pStyle w:val="277"/>
        <w:numPr>
          <w:ilvl w:val="0"/>
          <w:numId w:val="57"/>
        </w:numPr>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sz w:val="24"/>
          <w:szCs w:val="24"/>
        </w:rPr>
        <w:t>常微分方程</w:t>
      </w:r>
      <w:r>
        <w:rPr>
          <w:rFonts w:ascii="宋体" w:hAnsi="宋体" w:eastAsia="宋体" w:cs="宋体"/>
          <w:sz w:val="24"/>
          <w:szCs w:val="24"/>
        </w:rPr>
        <w:t xml:space="preserve"> (ODE)</w:t>
      </w:r>
    </w:p>
    <w:p w14:paraId="01C00F6F">
      <w:pPr>
        <w:pStyle w:val="277"/>
        <w:numPr>
          <w:ilvl w:val="0"/>
          <w:numId w:val="57"/>
        </w:numPr>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sz w:val="24"/>
          <w:szCs w:val="24"/>
        </w:rPr>
        <w:t>稀疏矩阵</w:t>
      </w:r>
    </w:p>
    <w:p w14:paraId="401CD29E">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2）数据分析和可视化</w:t>
      </w:r>
    </w:p>
    <w:p w14:paraId="2CC8C135">
      <w:pPr>
        <w:pStyle w:val="277"/>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提供用于数据采集、分析和可视化的工具，深入探查数据，还可以通过绘图、报告或发布代码的形式来记录和共享结果。</w:t>
      </w:r>
    </w:p>
    <w:p w14:paraId="2CA8D583">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3）采集数据</w:t>
      </w:r>
    </w:p>
    <w:p w14:paraId="6413D276">
      <w:pPr>
        <w:pStyle w:val="277"/>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可以从文件、其他应用程序、数据库以及外部设备访问数据。</w:t>
      </w:r>
      <w:r>
        <w:rPr>
          <w:rFonts w:hint="default" w:ascii="宋体" w:hAnsi="宋体" w:eastAsia="宋体" w:cs="宋体"/>
          <w:sz w:val="24"/>
          <w:szCs w:val="24"/>
          <w:lang w:val="en-US"/>
        </w:rPr>
        <w:t>可以</w:t>
      </w:r>
      <w:r>
        <w:rPr>
          <w:rFonts w:hint="eastAsia" w:ascii="宋体" w:hAnsi="宋体" w:eastAsia="宋体" w:cs="宋体"/>
          <w:sz w:val="24"/>
          <w:szCs w:val="24"/>
        </w:rPr>
        <w:t>从各种常用文件格式（如 MicrosoftExcel、文本或二进制文件、图像、语音和视频文件）以及诸如 netCDF 和 HDF等科学文件中读取数据。借助文件 I/O函数，可以处理任意格式的数据文件。可以从诸如计算机串口或声卡等硬件设备获取数据，并且使实时测量的数据直接导入软件，以便用于分析和可视化处理。此外，</w:t>
      </w:r>
      <w:r>
        <w:rPr>
          <w:rFonts w:hint="default" w:ascii="宋体" w:hAnsi="宋体" w:eastAsia="宋体" w:cs="宋体"/>
          <w:sz w:val="24"/>
          <w:szCs w:val="24"/>
          <w:lang w:val="en-US"/>
        </w:rPr>
        <w:t>还可以</w:t>
      </w:r>
      <w:r>
        <w:rPr>
          <w:rFonts w:hint="eastAsia" w:ascii="宋体" w:hAnsi="宋体" w:eastAsia="宋体" w:cs="宋体"/>
          <w:sz w:val="24"/>
          <w:szCs w:val="24"/>
        </w:rPr>
        <w:t>实现与各种仪器（如示波器、函数发生器以及信号分析仪）之间的通信。</w:t>
      </w:r>
    </w:p>
    <w:p w14:paraId="677DEAD5">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4）分析数据</w:t>
      </w:r>
    </w:p>
    <w:p w14:paraId="64A6D1C8">
      <w:pPr>
        <w:pStyle w:val="277"/>
        <w:spacing w:line="360" w:lineRule="auto"/>
        <w:ind w:firstLine="240" w:firstLineChars="100"/>
        <w:rPr>
          <w:rFonts w:hint="eastAsia" w:ascii="宋体" w:hAnsi="宋体" w:eastAsia="宋体" w:cs="宋体"/>
          <w:sz w:val="24"/>
          <w:szCs w:val="24"/>
        </w:rPr>
      </w:pPr>
      <w:r>
        <w:rPr>
          <w:rFonts w:hint="default" w:ascii="宋体" w:hAnsi="宋体" w:eastAsia="宋体" w:cs="宋体"/>
          <w:sz w:val="24"/>
          <w:szCs w:val="24"/>
          <w:lang w:val="en-US"/>
        </w:rPr>
        <w:t>可以</w:t>
      </w:r>
      <w:r>
        <w:rPr>
          <w:rFonts w:hint="eastAsia" w:ascii="宋体" w:hAnsi="宋体" w:eastAsia="宋体" w:cs="宋体"/>
          <w:sz w:val="24"/>
          <w:szCs w:val="24"/>
        </w:rPr>
        <w:t>对数据进行管理、筛选以及预处理。</w:t>
      </w:r>
      <w:r>
        <w:rPr>
          <w:rFonts w:hint="default" w:ascii="宋体" w:hAnsi="宋体" w:eastAsia="宋体" w:cs="宋体"/>
          <w:sz w:val="24"/>
          <w:szCs w:val="24"/>
          <w:lang w:val="en-US"/>
        </w:rPr>
        <w:t>可以</w:t>
      </w:r>
      <w:r>
        <w:rPr>
          <w:rFonts w:hint="eastAsia" w:ascii="宋体" w:hAnsi="宋体" w:eastAsia="宋体" w:cs="宋体"/>
          <w:sz w:val="24"/>
          <w:szCs w:val="24"/>
        </w:rPr>
        <w:t>执行探索性数据分析，探明趋势，检验假设，并构建描述模型。提供可用于滤波和平滑、插值、卷积以及快速傅立叶变换 (FFT)的各种函数。各种附加产品提供了可用于曲线和曲面拟合、多元统计、频谱分析、图像分析、 系统识别及其他分析任务的多种功能。</w:t>
      </w:r>
    </w:p>
    <w:p w14:paraId="6ECACEC7">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5）实现数据的可视化</w:t>
      </w:r>
    </w:p>
    <w:p w14:paraId="756BA26C">
      <w:pPr>
        <w:pStyle w:val="277"/>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提供内置的二维和三维绘图函数，以及立体可视化函数。使用这些函数，可以实现数据可视化，了解数据，并交流结果。对绘图进行自定义时既可以采用交互方式，也可以采用编程方式。</w:t>
      </w:r>
    </w:p>
    <w:p w14:paraId="3D430C6F">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6）存档和共享结果</w:t>
      </w:r>
    </w:p>
    <w:p w14:paraId="5040DA43">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采用图形或完整报告的方式来共享结果。通过定制图形，可以符合出版规格，并保存为常见的图形和数据文件格式。</w:t>
      </w:r>
    </w:p>
    <w:p w14:paraId="6302114F">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7）编程和算法开发</w:t>
      </w:r>
    </w:p>
    <w:p w14:paraId="615EDCCA">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提供高级语言和开发工具，可以迅速地开发并分析算法和应用程序。</w:t>
      </w:r>
    </w:p>
    <w:p w14:paraId="0F490A1A">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8）语言要求</w:t>
      </w:r>
    </w:p>
    <w:p w14:paraId="00153D53">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提供传统编程语言的多项功能，其中包括流控制、错误处理以面向对象编程 (OOP)。据类型或高级数据结构，也可以定义自定义数据类型。采用交互方式，一次仅执行一个命令，可以即时生成结果。通过捕获交互式步骤，生成可以重复使用的脚本和函数，并实现任务的自动化。</w:t>
      </w:r>
    </w:p>
    <w:p w14:paraId="49DE3D44">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9）开发工具</w:t>
      </w:r>
    </w:p>
    <w:p w14:paraId="6DE148AC">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可以实现高效的算法开发，包括：</w:t>
      </w:r>
    </w:p>
    <w:p w14:paraId="76ADD655">
      <w:pPr>
        <w:pStyle w:val="277"/>
        <w:numPr>
          <w:ilvl w:val="0"/>
          <w:numId w:val="58"/>
        </w:numPr>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sz w:val="24"/>
          <w:szCs w:val="24"/>
        </w:rPr>
        <w:t>命令行窗口</w:t>
      </w:r>
      <w:r>
        <w:rPr>
          <w:rFonts w:ascii="宋体" w:hAnsi="宋体" w:eastAsia="宋体" w:cs="宋体"/>
          <w:sz w:val="24"/>
          <w:szCs w:val="24"/>
        </w:rPr>
        <w:t>–</w:t>
      </w:r>
      <w:r>
        <w:rPr>
          <w:rFonts w:hint="eastAsia" w:ascii="宋体" w:hAnsi="宋体" w:eastAsia="宋体" w:cs="宋体"/>
          <w:sz w:val="24"/>
          <w:szCs w:val="24"/>
        </w:rPr>
        <w:t>能够以交互的方式输入数据，执行命令和程序，以及显示结果</w:t>
      </w:r>
    </w:p>
    <w:p w14:paraId="060471CB">
      <w:pPr>
        <w:pStyle w:val="277"/>
        <w:numPr>
          <w:ilvl w:val="0"/>
          <w:numId w:val="58"/>
        </w:numPr>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sz w:val="24"/>
          <w:szCs w:val="24"/>
        </w:rPr>
        <w:t>编辑器</w:t>
      </w:r>
      <w:r>
        <w:rPr>
          <w:rFonts w:ascii="宋体" w:hAnsi="宋体" w:eastAsia="宋体" w:cs="宋体"/>
          <w:sz w:val="24"/>
          <w:szCs w:val="24"/>
        </w:rPr>
        <w:t>–</w:t>
      </w:r>
      <w:r>
        <w:rPr>
          <w:rFonts w:hint="eastAsia" w:ascii="宋体" w:hAnsi="宋体" w:eastAsia="宋体" w:cs="宋体"/>
          <w:sz w:val="24"/>
          <w:szCs w:val="24"/>
        </w:rPr>
        <w:t>提供编辑和调试功能，如设置断点及逐步调试各行代码</w:t>
      </w:r>
    </w:p>
    <w:p w14:paraId="738E3669">
      <w:pPr>
        <w:pStyle w:val="277"/>
        <w:numPr>
          <w:ilvl w:val="0"/>
          <w:numId w:val="58"/>
        </w:numPr>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sz w:val="24"/>
          <w:szCs w:val="24"/>
        </w:rPr>
        <w:t>代码分析器</w:t>
      </w:r>
      <w:r>
        <w:rPr>
          <w:rFonts w:ascii="宋体" w:hAnsi="宋体" w:eastAsia="宋体" w:cs="宋体"/>
          <w:sz w:val="24"/>
          <w:szCs w:val="24"/>
        </w:rPr>
        <w:t>–</w:t>
      </w:r>
      <w:r>
        <w:rPr>
          <w:rFonts w:hint="eastAsia" w:ascii="宋体" w:hAnsi="宋体" w:eastAsia="宋体" w:cs="宋体"/>
          <w:sz w:val="24"/>
          <w:szCs w:val="24"/>
        </w:rPr>
        <w:t>自动检查代码是否有问题，并提出修改建议，以最大限度地发挥性能以及可维护性</w:t>
      </w:r>
    </w:p>
    <w:p w14:paraId="31CA46CB">
      <w:pPr>
        <w:pStyle w:val="277"/>
        <w:numPr>
          <w:ilvl w:val="0"/>
          <w:numId w:val="58"/>
        </w:numPr>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sz w:val="24"/>
          <w:szCs w:val="24"/>
        </w:rPr>
        <w:t>事件探查器</w:t>
      </w:r>
      <w:r>
        <w:rPr>
          <w:rFonts w:ascii="宋体" w:hAnsi="宋体" w:eastAsia="宋体" w:cs="宋体"/>
          <w:sz w:val="24"/>
          <w:szCs w:val="24"/>
        </w:rPr>
        <w:t>–</w:t>
      </w:r>
      <w:r>
        <w:rPr>
          <w:rFonts w:hint="eastAsia" w:ascii="宋体" w:hAnsi="宋体" w:eastAsia="宋体" w:cs="宋体"/>
          <w:sz w:val="24"/>
          <w:szCs w:val="24"/>
        </w:rPr>
        <w:t>衡量程序的性能，并确定需要修改加以改进的代码范围</w:t>
      </w:r>
    </w:p>
    <w:p w14:paraId="380A9BE9">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10）与其他语言和应用程序集成</w:t>
      </w:r>
    </w:p>
    <w:p w14:paraId="0A0BFC09">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可以与其他语言编写的应用程序集成。可以直接调用以 C、 C++、 Java 和 .NET 编写的代码。可从 C、 C++ 或 Fortran 应用程序调用代码。</w:t>
      </w:r>
    </w:p>
    <w:p w14:paraId="08D09634">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11）性能</w:t>
      </w:r>
    </w:p>
    <w:p w14:paraId="451EED75">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可以快速执行矩阵运算和向量运算。对于通用的标量计算，提供众多的多线程线性代数和数值函数，可以充分利用多核和多处理器计算机。这些函数可在单个会话中自动执行多个计算线程，从而得以在多核计算机上提高执行速度。可以充分利用多核台式机和其他的高性能计算资源，如GPU 和群集，可实现应用程序的并行化。</w:t>
      </w:r>
    </w:p>
    <w:p w14:paraId="4E886D8E">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12）应用程序开发和部署</w:t>
      </w:r>
    </w:p>
    <w:p w14:paraId="62DFC86F">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提供开发和部署应用程序的选项。既可以与其他用户共享各个算法和应用程序，也可以向其他用户实施免特许费的部署。</w:t>
      </w:r>
    </w:p>
    <w:p w14:paraId="3E194116">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13）设计图形用户界面</w:t>
      </w:r>
    </w:p>
    <w:p w14:paraId="69E2BF02">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使用图形用户界面开发环境，可以布置、设计和编辑自定义图形用户界面，还可以使用函数以编程的方式来创建图形用户界面。</w:t>
      </w:r>
    </w:p>
    <w:p w14:paraId="3AC69DA6">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14）部署应用程序</w:t>
      </w:r>
    </w:p>
    <w:p w14:paraId="709AAEB0">
      <w:pPr>
        <w:pStyle w:val="277"/>
        <w:spacing w:line="360" w:lineRule="auto"/>
        <w:rPr>
          <w:rFonts w:hint="eastAsia" w:ascii="宋体" w:hAnsi="宋体" w:eastAsia="宋体" w:cs="宋体"/>
          <w:sz w:val="24"/>
          <w:szCs w:val="24"/>
        </w:rPr>
      </w:pPr>
      <w:r>
        <w:rPr>
          <w:rFonts w:hint="eastAsia" w:ascii="宋体" w:hAnsi="宋体" w:eastAsia="宋体" w:cs="宋体"/>
          <w:sz w:val="24"/>
          <w:szCs w:val="24"/>
        </w:rPr>
        <w:t>自动生成独立应用程序、共享库和软件组件，以便与 C、 C++、 Java、 .NET和 Excel 环境集成。</w:t>
      </w:r>
    </w:p>
    <w:p w14:paraId="59A67E80">
      <w:pPr>
        <w:pStyle w:val="3"/>
        <w:spacing w:line="360" w:lineRule="auto"/>
        <w:ind w:left="0" w:leftChars="0" w:firstLine="0" w:firstLineChars="0"/>
        <w:jc w:val="left"/>
        <w:rPr>
          <w:rFonts w:ascii="宋体" w:hAnsi="宋体" w:cs="宋体"/>
          <w:b w:val="0"/>
          <w:bCs w:val="0"/>
          <w:sz w:val="24"/>
          <w:szCs w:val="24"/>
        </w:rPr>
      </w:pPr>
      <w:r>
        <w:rPr>
          <w:rFonts w:hint="eastAsia" w:ascii="宋体" w:hAnsi="宋体" w:cs="宋体"/>
          <w:b w:val="0"/>
          <w:bCs w:val="0"/>
          <w:sz w:val="24"/>
          <w:szCs w:val="24"/>
        </w:rPr>
        <w:t>注：</w:t>
      </w:r>
    </w:p>
    <w:p w14:paraId="10D88B83">
      <w:pPr>
        <w:pStyle w:val="16"/>
        <w:pBdr>
          <w:top w:val="none" w:color="000000" w:sz="0" w:space="0"/>
          <w:left w:val="none" w:color="000000" w:sz="0" w:space="0"/>
          <w:right w:val="none" w:color="000000" w:sz="0" w:space="0"/>
        </w:pBdr>
        <w:wordWrap w:val="0"/>
        <w:spacing w:line="312" w:lineRule="auto"/>
        <w:ind w:firstLine="480" w:firstLineChars="200"/>
        <w:jc w:val="left"/>
        <w:rPr>
          <w:rFonts w:hint="eastAsia" w:ascii="宋体" w:hAnsi="宋体" w:eastAsia="宋体" w:cs="宋体"/>
          <w:b w:val="0"/>
          <w:bCs w:val="0"/>
          <w:sz w:val="24"/>
          <w:szCs w:val="24"/>
        </w:rPr>
      </w:pPr>
      <w:r>
        <w:rPr>
          <w:rFonts w:hint="eastAsia" w:ascii="宋体" w:hAnsi="宋体" w:cs="宋体"/>
          <w:b w:val="0"/>
          <w:bCs w:val="0"/>
          <w:sz w:val="24"/>
          <w:szCs w:val="24"/>
        </w:rPr>
        <w:t>1、凡标有最低一级序号的指标项即为一项技术条款，无论是否隶属于上一级编号；</w:t>
      </w:r>
    </w:p>
    <w:p w14:paraId="2C7E471A">
      <w:pPr>
        <w:numPr>
          <w:ilvl w:val="0"/>
          <w:numId w:val="54"/>
        </w:numPr>
        <w:adjustRightInd w:val="0"/>
        <w:snapToGrid w:val="0"/>
        <w:spacing w:before="120" w:beforeLines="50" w:after="120" w:afterLines="50" w:line="360" w:lineRule="auto"/>
        <w:outlineLvl w:val="2"/>
        <w:rPr>
          <w:b/>
          <w:color w:val="000000" w:themeColor="text1"/>
          <w:sz w:val="28"/>
          <w:szCs w:val="28"/>
          <w:highlight w:val="none"/>
          <w:lang w:val="zh-CN"/>
          <w14:textFill>
            <w14:solidFill>
              <w14:schemeClr w14:val="tx1"/>
            </w14:solidFill>
          </w14:textFill>
        </w:rPr>
      </w:pPr>
      <w:r>
        <w:rPr>
          <w:rFonts w:hint="eastAsia"/>
          <w:b/>
          <w:color w:val="000000" w:themeColor="text1"/>
          <w:sz w:val="28"/>
          <w:szCs w:val="28"/>
          <w:highlight w:val="none"/>
          <w:lang w:val="zh-CN"/>
          <w14:textFill>
            <w14:solidFill>
              <w14:schemeClr w14:val="tx1"/>
            </w14:solidFill>
          </w14:textFill>
        </w:rPr>
        <w:t>商务条款</w:t>
      </w:r>
    </w:p>
    <w:p w14:paraId="2A4CA4C6">
      <w:pPr>
        <w:numPr>
          <w:ilvl w:val="0"/>
          <w:numId w:val="59"/>
        </w:numPr>
        <w:snapToGrid w:val="0"/>
        <w:spacing w:line="360" w:lineRule="auto"/>
        <w:rPr>
          <w:rFonts w:ascii="宋体" w:hAnsi="宋体" w:cs="宋体"/>
          <w:b/>
          <w:bCs/>
          <w:sz w:val="24"/>
          <w:szCs w:val="24"/>
          <w:highlight w:val="none"/>
          <w:lang w:bidi="ar"/>
        </w:rPr>
      </w:pPr>
      <w:r>
        <w:rPr>
          <w:rFonts w:hint="eastAsia" w:ascii="Arial" w:hAnsi="Arial"/>
          <w:b/>
          <w:bCs/>
          <w:sz w:val="24"/>
          <w:szCs w:val="24"/>
          <w:highlight w:val="none"/>
          <w:lang w:bidi="ar"/>
        </w:rPr>
        <w:t>供货</w:t>
      </w:r>
      <w:r>
        <w:rPr>
          <w:rFonts w:hint="eastAsia" w:ascii="宋体" w:hAnsi="宋体" w:cs="宋体"/>
          <w:b/>
          <w:bCs/>
          <w:sz w:val="24"/>
          <w:szCs w:val="24"/>
          <w:highlight w:val="none"/>
          <w:lang w:bidi="ar"/>
        </w:rPr>
        <w:t>、运输及安装调试</w:t>
      </w:r>
    </w:p>
    <w:p w14:paraId="089D2AE6">
      <w:pPr>
        <w:pStyle w:val="277"/>
        <w:numPr>
          <w:ilvl w:val="0"/>
          <w:numId w:val="60"/>
        </w:numPr>
        <w:spacing w:line="360" w:lineRule="auto"/>
        <w:rPr>
          <w:rFonts w:hint="eastAsia" w:ascii="宋体" w:hAnsi="宋体" w:eastAsia="宋体" w:cs="MicrosoftYaHei"/>
          <w:sz w:val="24"/>
          <w:szCs w:val="24"/>
        </w:rPr>
      </w:pPr>
      <w:r>
        <w:rPr>
          <w:rFonts w:hint="eastAsia" w:ascii="宋体" w:hAnsi="宋体" w:eastAsia="宋体" w:cs="MicrosoftYaHei"/>
          <w:sz w:val="24"/>
          <w:szCs w:val="24"/>
        </w:rPr>
        <w:t>交货期：合同签订后</w:t>
      </w:r>
      <w:r>
        <w:rPr>
          <w:rFonts w:ascii="宋体" w:hAnsi="宋体" w:eastAsia="宋体" w:cs="MicrosoftYaHei"/>
          <w:sz w:val="24"/>
          <w:szCs w:val="24"/>
        </w:rPr>
        <w:t>2</w:t>
      </w:r>
      <w:r>
        <w:rPr>
          <w:rFonts w:hint="eastAsia" w:ascii="宋体" w:hAnsi="宋体" w:eastAsia="宋体" w:cs="MicrosoftYaHei"/>
          <w:sz w:val="24"/>
          <w:szCs w:val="24"/>
        </w:rPr>
        <w:t>周内。</w:t>
      </w:r>
    </w:p>
    <w:p w14:paraId="10836FC5">
      <w:pPr>
        <w:pStyle w:val="277"/>
        <w:spacing w:line="360" w:lineRule="auto"/>
        <w:rPr>
          <w:rFonts w:hint="eastAsia" w:ascii="宋体" w:hAnsi="宋体" w:eastAsia="宋体" w:cs="MicrosoftYaHei"/>
          <w:sz w:val="24"/>
          <w:szCs w:val="24"/>
        </w:rPr>
      </w:pPr>
      <w:r>
        <w:rPr>
          <w:rFonts w:hint="eastAsia" w:ascii="宋体" w:hAnsi="宋体" w:cs="MicrosoftYaHei"/>
          <w:sz w:val="24"/>
          <w:szCs w:val="24"/>
          <w:lang w:val="en-US" w:eastAsia="zh-CN"/>
        </w:rPr>
        <w:t>2</w:t>
      </w:r>
      <w:r>
        <w:rPr>
          <w:rFonts w:hint="eastAsia" w:ascii="宋体" w:hAnsi="宋体" w:eastAsia="宋体" w:cs="MicrosoftYaHei"/>
          <w:sz w:val="24"/>
          <w:szCs w:val="24"/>
        </w:rPr>
        <w:t>、售后服务包括：</w:t>
      </w:r>
    </w:p>
    <w:p w14:paraId="1D6388DC">
      <w:pPr>
        <w:pStyle w:val="277"/>
        <w:spacing w:line="360" w:lineRule="auto"/>
        <w:rPr>
          <w:rFonts w:hint="eastAsia" w:ascii="宋体" w:hAnsi="宋体" w:eastAsia="宋体" w:cs="MicrosoftYaHei"/>
          <w:sz w:val="24"/>
          <w:szCs w:val="24"/>
        </w:rPr>
      </w:pPr>
      <w:r>
        <w:rPr>
          <w:rFonts w:hint="eastAsia" w:ascii="宋体" w:hAnsi="宋体" w:eastAsia="宋体" w:cs="MicrosoftYaHei"/>
          <w:sz w:val="24"/>
          <w:szCs w:val="24"/>
        </w:rPr>
        <w:t>（</w:t>
      </w:r>
      <w:r>
        <w:rPr>
          <w:rFonts w:ascii="宋体" w:hAnsi="宋体" w:eastAsia="宋体" w:cs="MicrosoftYaHei"/>
          <w:sz w:val="24"/>
          <w:szCs w:val="24"/>
        </w:rPr>
        <w:t>1</w:t>
      </w:r>
      <w:r>
        <w:rPr>
          <w:rFonts w:hint="eastAsia" w:ascii="宋体" w:hAnsi="宋体" w:eastAsia="宋体" w:cs="MicrosoftYaHei"/>
          <w:sz w:val="24"/>
          <w:szCs w:val="24"/>
        </w:rPr>
        <w:t>）安装指导。</w:t>
      </w:r>
    </w:p>
    <w:p w14:paraId="0E86292B">
      <w:pPr>
        <w:pStyle w:val="277"/>
        <w:spacing w:line="360" w:lineRule="auto"/>
        <w:rPr>
          <w:rFonts w:hint="eastAsia" w:ascii="宋体" w:hAnsi="宋体" w:eastAsia="宋体" w:cs="MicrosoftYaHei"/>
          <w:sz w:val="24"/>
          <w:szCs w:val="24"/>
        </w:rPr>
      </w:pPr>
      <w:r>
        <w:rPr>
          <w:rFonts w:hint="eastAsia" w:ascii="宋体" w:hAnsi="宋体" w:eastAsia="宋体" w:cs="MicrosoftYaHei"/>
          <w:sz w:val="24"/>
          <w:szCs w:val="24"/>
        </w:rPr>
        <w:t>（</w:t>
      </w:r>
      <w:r>
        <w:rPr>
          <w:rFonts w:ascii="宋体" w:hAnsi="宋体" w:eastAsia="宋体" w:cs="MicrosoftYaHei"/>
          <w:sz w:val="24"/>
          <w:szCs w:val="24"/>
        </w:rPr>
        <w:t>2</w:t>
      </w:r>
      <w:r>
        <w:rPr>
          <w:rFonts w:hint="eastAsia" w:ascii="宋体" w:hAnsi="宋体" w:eastAsia="宋体" w:cs="MicrosoftYaHei"/>
          <w:sz w:val="24"/>
          <w:szCs w:val="24"/>
        </w:rPr>
        <w:t>）每年至少</w:t>
      </w:r>
      <w:r>
        <w:rPr>
          <w:rFonts w:ascii="宋体" w:hAnsi="宋体" w:eastAsia="宋体" w:cs="MicrosoftYaHei"/>
          <w:sz w:val="24"/>
          <w:szCs w:val="24"/>
        </w:rPr>
        <w:t>2</w:t>
      </w:r>
      <w:r>
        <w:rPr>
          <w:rFonts w:hint="eastAsia" w:ascii="宋体" w:hAnsi="宋体" w:eastAsia="宋体" w:cs="MicrosoftYaHei"/>
          <w:sz w:val="24"/>
          <w:szCs w:val="24"/>
        </w:rPr>
        <w:t>次使用培训，提供在线课程库，涵盖基础、数据分析、金融应用、机器学习、深度学习、计算数学等内容。</w:t>
      </w:r>
    </w:p>
    <w:p w14:paraId="4BE60C28">
      <w:pPr>
        <w:pStyle w:val="277"/>
        <w:spacing w:line="360" w:lineRule="auto"/>
        <w:rPr>
          <w:rFonts w:hint="eastAsia" w:ascii="宋体" w:hAnsi="宋体" w:eastAsia="宋体" w:cs="MicrosoftYaHei"/>
          <w:sz w:val="24"/>
          <w:szCs w:val="24"/>
        </w:rPr>
      </w:pPr>
      <w:r>
        <w:rPr>
          <w:rFonts w:hint="eastAsia" w:ascii="宋体" w:hAnsi="宋体" w:eastAsia="宋体" w:cs="MicrosoftYaHei"/>
          <w:sz w:val="24"/>
          <w:szCs w:val="24"/>
        </w:rPr>
        <w:t>（</w:t>
      </w:r>
      <w:r>
        <w:rPr>
          <w:rFonts w:ascii="宋体" w:hAnsi="宋体" w:eastAsia="宋体" w:cs="MicrosoftYaHei"/>
          <w:sz w:val="24"/>
          <w:szCs w:val="24"/>
        </w:rPr>
        <w:t>3</w:t>
      </w:r>
      <w:r>
        <w:rPr>
          <w:rFonts w:hint="eastAsia" w:ascii="宋体" w:hAnsi="宋体" w:eastAsia="宋体" w:cs="MicrosoftYaHei"/>
          <w:sz w:val="24"/>
          <w:szCs w:val="24"/>
        </w:rPr>
        <w:t>）升级服务：</w:t>
      </w:r>
      <w:r>
        <w:rPr>
          <w:rFonts w:ascii="宋体" w:hAnsi="宋体" w:eastAsia="宋体" w:cs="MicrosoftYaHei"/>
          <w:sz w:val="24"/>
          <w:szCs w:val="24"/>
        </w:rPr>
        <w:t>1</w:t>
      </w:r>
      <w:r>
        <w:rPr>
          <w:rFonts w:hint="eastAsia" w:ascii="宋体" w:hAnsi="宋体" w:eastAsia="宋体" w:cs="MicrosoftYaHei"/>
          <w:sz w:val="24"/>
          <w:szCs w:val="24"/>
        </w:rPr>
        <w:t>年内免费升级。</w:t>
      </w:r>
    </w:p>
    <w:p w14:paraId="3D6BDEC5">
      <w:pPr>
        <w:pStyle w:val="277"/>
        <w:spacing w:line="360" w:lineRule="auto"/>
        <w:rPr>
          <w:rFonts w:ascii="宋体" w:hAnsi="宋体" w:cs="宋体"/>
          <w:b/>
          <w:bCs/>
          <w:sz w:val="24"/>
          <w:szCs w:val="24"/>
          <w:highlight w:val="yellow"/>
          <w:lang w:val="zh-CN" w:bidi="ar"/>
        </w:rPr>
      </w:pPr>
      <w:r>
        <w:rPr>
          <w:rFonts w:ascii="宋体" w:hAnsi="宋体" w:eastAsia="宋体" w:cs="Verdana-Bold"/>
          <w:sz w:val="24"/>
          <w:szCs w:val="24"/>
        </w:rPr>
        <w:t>3</w:t>
      </w:r>
      <w:r>
        <w:rPr>
          <w:rFonts w:hint="eastAsia" w:ascii="宋体" w:hAnsi="宋体" w:eastAsia="宋体"/>
          <w:sz w:val="24"/>
          <w:szCs w:val="24"/>
        </w:rPr>
        <w:t>、付款方式</w:t>
      </w:r>
      <w:r>
        <w:rPr>
          <w:rFonts w:hint="eastAsia" w:ascii="宋体" w:hAnsi="宋体" w:eastAsia="宋体"/>
          <w:sz w:val="24"/>
          <w:szCs w:val="24"/>
          <w:highlight w:val="none"/>
        </w:rPr>
        <w:t>：</w:t>
      </w:r>
      <w:r>
        <w:rPr>
          <w:rFonts w:hint="eastAsia" w:ascii="宋体" w:hAnsi="宋体" w:cs="宋体"/>
          <w:sz w:val="24"/>
          <w:szCs w:val="24"/>
          <w:highlight w:val="none"/>
          <w:lang w:val="zh-CN" w:bidi="ar"/>
        </w:rPr>
        <w:t>验收合格后30日内付至合同总价的100%。付款金额不计利息。</w:t>
      </w:r>
    </w:p>
    <w:p w14:paraId="43834C9B">
      <w:pPr>
        <w:numPr>
          <w:ilvl w:val="0"/>
          <w:numId w:val="59"/>
        </w:numPr>
        <w:snapToGrid w:val="0"/>
        <w:spacing w:line="360" w:lineRule="auto"/>
        <w:rPr>
          <w:rFonts w:hint="eastAsia" w:ascii="宋体" w:hAnsi="宋体" w:cs="宋体"/>
          <w:b/>
          <w:bCs/>
          <w:sz w:val="24"/>
          <w:szCs w:val="24"/>
          <w:highlight w:val="none"/>
          <w:lang w:bidi="ar"/>
        </w:rPr>
      </w:pPr>
      <w:r>
        <w:rPr>
          <w:rFonts w:hint="eastAsia" w:ascii="宋体" w:hAnsi="宋体" w:cs="宋体"/>
          <w:b/>
          <w:bCs/>
          <w:sz w:val="24"/>
          <w:szCs w:val="24"/>
          <w:highlight w:val="none"/>
          <w:lang w:bidi="ar"/>
        </w:rPr>
        <w:t>进校报备：</w:t>
      </w:r>
    </w:p>
    <w:p w14:paraId="4180D2C8">
      <w:pPr>
        <w:snapToGrid w:val="0"/>
        <w:spacing w:line="360" w:lineRule="auto"/>
        <w:ind w:firstLine="480" w:firstLineChars="200"/>
        <w:jc w:val="left"/>
        <w:textAlignment w:val="baseline"/>
        <w:rPr>
          <w:rFonts w:hint="eastAsia" w:ascii="宋体" w:hAnsi="宋体" w:cs="宋体"/>
          <w:sz w:val="24"/>
          <w:szCs w:val="24"/>
          <w:highlight w:val="none"/>
          <w:lang w:bidi="ar"/>
        </w:rPr>
      </w:pPr>
      <w:r>
        <w:rPr>
          <w:rFonts w:hint="eastAsia" w:ascii="宋体" w:hAnsi="宋体" w:cs="宋体"/>
          <w:sz w:val="24"/>
          <w:szCs w:val="24"/>
          <w:highlight w:val="none"/>
          <w:lang w:bidi="ar"/>
        </w:rPr>
        <w:t>进校参加</w:t>
      </w:r>
      <w:r>
        <w:rPr>
          <w:rFonts w:hint="eastAsia" w:ascii="宋体" w:hAnsi="宋体" w:cs="宋体"/>
          <w:sz w:val="24"/>
          <w:szCs w:val="24"/>
          <w:highlight w:val="none"/>
          <w:lang w:val="en-US" w:eastAsia="zh-CN" w:bidi="ar"/>
        </w:rPr>
        <w:t>采购</w:t>
      </w:r>
      <w:r>
        <w:rPr>
          <w:rFonts w:hint="eastAsia" w:ascii="宋体" w:hAnsi="宋体" w:cs="宋体"/>
          <w:sz w:val="24"/>
          <w:szCs w:val="24"/>
          <w:highlight w:val="none"/>
          <w:lang w:bidi="ar"/>
        </w:rPr>
        <w:t>活动的人员，应提前2小时扫描下方二维码填写入校预约，审核通过后从南邮仙林校区南门（文苑路9号）入校。（进校二维码见下）</w:t>
      </w:r>
    </w:p>
    <w:p w14:paraId="36E58030">
      <w:pPr>
        <w:pageBreakBefore w:val="0"/>
        <w:kinsoku/>
        <w:wordWrap w:val="0"/>
        <w:overflowPunct/>
        <w:bidi w:val="0"/>
        <w:ind w:firstLine="480"/>
        <w:jc w:val="center"/>
        <w:rPr>
          <w:rFonts w:hint="eastAsia" w:ascii="宋体" w:hAnsi="宋体" w:cs="宋体"/>
          <w:szCs w:val="21"/>
          <w:highlight w:val="none"/>
        </w:rPr>
      </w:pPr>
    </w:p>
    <w:p w14:paraId="4676C399">
      <w:pPr>
        <w:pageBreakBefore w:val="0"/>
        <w:kinsoku/>
        <w:wordWrap w:val="0"/>
        <w:overflowPunct/>
        <w:bidi w:val="0"/>
        <w:ind w:firstLine="480"/>
        <w:jc w:val="center"/>
        <w:rPr>
          <w:rFonts w:hint="eastAsia" w:ascii="宋体" w:hAnsi="宋体" w:cs="宋体"/>
          <w:szCs w:val="21"/>
          <w:highlight w:val="none"/>
        </w:rPr>
      </w:pPr>
      <w:r>
        <w:rPr>
          <w:rFonts w:hint="eastAsia" w:ascii="宋体" w:hAnsi="宋体" w:cs="宋体"/>
          <w:szCs w:val="21"/>
          <w:highlight w:val="none"/>
        </w:rPr>
        <w:drawing>
          <wp:inline distT="0" distB="0" distL="114300" distR="114300">
            <wp:extent cx="3429000" cy="3429000"/>
            <wp:effectExtent l="0" t="0" r="0" b="0"/>
            <wp:docPr id="1" name="图片 1" descr="1655026b1a1f0cbc839dd1665ca8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55026b1a1f0cbc839dd1665ca87714"/>
                    <pic:cNvPicPr>
                      <a:picLocks noChangeAspect="1"/>
                    </pic:cNvPicPr>
                  </pic:nvPicPr>
                  <pic:blipFill>
                    <a:blip r:embed="rId6"/>
                    <a:stretch>
                      <a:fillRect/>
                    </a:stretch>
                  </pic:blipFill>
                  <pic:spPr>
                    <a:xfrm>
                      <a:off x="0" y="0"/>
                      <a:ext cx="3429000" cy="3429000"/>
                    </a:xfrm>
                    <a:prstGeom prst="rect">
                      <a:avLst/>
                    </a:prstGeom>
                    <a:noFill/>
                    <a:ln>
                      <a:noFill/>
                    </a:ln>
                  </pic:spPr>
                </pic:pic>
              </a:graphicData>
            </a:graphic>
          </wp:inline>
        </w:drawing>
      </w:r>
    </w:p>
    <w:p w14:paraId="79F47CF2">
      <w:pPr>
        <w:pageBreakBefore w:val="0"/>
        <w:kinsoku/>
        <w:wordWrap w:val="0"/>
        <w:overflowPunct/>
        <w:bidi w:val="0"/>
        <w:spacing w:line="400" w:lineRule="exact"/>
        <w:ind w:firstLine="480"/>
        <w:rPr>
          <w:rFonts w:hint="eastAsia" w:ascii="宋体" w:hAnsi="宋体" w:cs="宋体"/>
          <w:bCs/>
          <w:szCs w:val="21"/>
          <w:highlight w:val="none"/>
        </w:rPr>
      </w:pPr>
    </w:p>
    <w:p w14:paraId="7CE11105">
      <w:pPr>
        <w:snapToGrid w:val="0"/>
        <w:spacing w:line="360" w:lineRule="auto"/>
        <w:ind w:firstLine="562" w:firstLineChars="200"/>
        <w:jc w:val="left"/>
        <w:textAlignment w:val="baseline"/>
        <w:rPr>
          <w:rFonts w:hint="eastAsia" w:ascii="宋体" w:hAnsi="宋体" w:cs="宋体"/>
          <w:sz w:val="24"/>
          <w:szCs w:val="24"/>
          <w:highlight w:val="none"/>
          <w:lang w:bidi="ar"/>
        </w:rPr>
      </w:pPr>
      <w:r>
        <w:rPr>
          <w:rFonts w:hint="eastAsia" w:ascii="宋体" w:hAnsi="宋体" w:eastAsia="宋体" w:cs="宋体"/>
          <w:b/>
          <w:color w:val="auto"/>
          <w:sz w:val="28"/>
          <w:szCs w:val="28"/>
          <w:highlight w:val="none"/>
        </w:rPr>
        <w:t>请务必预留充足时间，如不能在截止时间前递交</w:t>
      </w:r>
      <w:r>
        <w:rPr>
          <w:rFonts w:hint="eastAsia" w:ascii="宋体" w:hAnsi="宋体" w:eastAsia="宋体" w:cs="宋体"/>
          <w:b/>
          <w:color w:val="auto"/>
          <w:sz w:val="28"/>
          <w:szCs w:val="28"/>
          <w:highlight w:val="none"/>
          <w:lang w:val="en-US" w:eastAsia="zh-CN"/>
        </w:rPr>
        <w:t>响应</w:t>
      </w:r>
      <w:r>
        <w:rPr>
          <w:rFonts w:hint="eastAsia" w:ascii="宋体" w:hAnsi="宋体" w:eastAsia="宋体" w:cs="宋体"/>
          <w:b/>
          <w:color w:val="auto"/>
          <w:sz w:val="28"/>
          <w:szCs w:val="28"/>
          <w:highlight w:val="none"/>
        </w:rPr>
        <w:t>文件，后果自行承担。</w:t>
      </w:r>
    </w:p>
    <w:p w14:paraId="795C263D">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140A7637">
      <w:pPr>
        <w:pStyle w:val="2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第五章  合同主要条款及格式</w:t>
      </w:r>
    </w:p>
    <w:p w14:paraId="7065E33C">
      <w:pPr>
        <w:pStyle w:val="17"/>
        <w:spacing w:line="360" w:lineRule="auto"/>
        <w:ind w:firstLine="480"/>
        <w:rPr>
          <w:color w:val="000000" w:themeColor="text1"/>
          <w:highlight w:val="none"/>
          <w14:textFill>
            <w14:solidFill>
              <w14:schemeClr w14:val="tx1"/>
            </w14:solidFill>
          </w14:textFill>
        </w:rPr>
      </w:pPr>
      <w:bookmarkStart w:id="8" w:name="_Toc16938559"/>
      <w:bookmarkStart w:id="9" w:name="_Toc513029243"/>
      <w:bookmarkStart w:id="10" w:name="_Toc20823315"/>
      <w:r>
        <w:rPr>
          <w:color w:val="000000" w:themeColor="text1"/>
          <w:highlight w:val="none"/>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8"/>
    <w:bookmarkEnd w:id="9"/>
    <w:bookmarkEnd w:id="10"/>
    <w:p w14:paraId="48EDF007">
      <w:pPr>
        <w:widowControl/>
        <w:snapToGrid w:val="0"/>
        <w:spacing w:before="19"/>
        <w:ind w:left="-358" w:leftChars="-255" w:right="-334" w:rightChars="-159" w:hanging="177" w:hangingChars="49"/>
        <w:jc w:val="center"/>
        <w:rPr>
          <w:rFonts w:hint="default" w:ascii="Times New Roman" w:hAnsi="Times New Roman" w:eastAsia="仿宋_GB2312" w:cs="Times New Roman"/>
          <w:b/>
          <w:sz w:val="36"/>
          <w:highlight w:val="none"/>
        </w:rPr>
      </w:pPr>
      <w:bookmarkStart w:id="11" w:name="_Hlt16619369"/>
      <w:bookmarkEnd w:id="11"/>
      <w:r>
        <w:rPr>
          <w:rFonts w:hint="default" w:ascii="Times New Roman" w:hAnsi="Times New Roman" w:eastAsia="仿宋_GB2312" w:cs="Times New Roman"/>
          <w:b/>
          <w:sz w:val="36"/>
          <w:highlight w:val="none"/>
        </w:rPr>
        <w:t>南京邮电大学采购合同</w:t>
      </w:r>
    </w:p>
    <w:p w14:paraId="3DD7F547">
      <w:pPr>
        <w:wordWrap w:val="0"/>
        <w:spacing w:line="240" w:lineRule="atLeast"/>
        <w:rPr>
          <w:rFonts w:hint="default" w:ascii="Times New Roman" w:hAnsi="Times New Roman" w:cs="Times New Roman"/>
          <w:sz w:val="24"/>
          <w:highlight w:val="none"/>
        </w:rPr>
      </w:pPr>
      <w:r>
        <w:rPr>
          <w:rFonts w:hint="default" w:ascii="Times New Roman" w:hAnsi="Times New Roman" w:cs="Times New Roman"/>
          <w:sz w:val="24"/>
          <w:highlight w:val="none"/>
        </w:rPr>
        <w:t>甲方：南京邮电大学                             签订地点：南京邮电大学</w:t>
      </w:r>
    </w:p>
    <w:p w14:paraId="15147ED9">
      <w:pPr>
        <w:widowControl/>
        <w:snapToGrid w:val="0"/>
        <w:spacing w:before="19"/>
        <w:rPr>
          <w:rFonts w:hint="default" w:ascii="Times New Roman" w:hAnsi="Times New Roman" w:cs="Times New Roman"/>
          <w:sz w:val="24"/>
          <w:highlight w:val="none"/>
        </w:rPr>
      </w:pPr>
      <w:r>
        <w:rPr>
          <w:rFonts w:hint="default" w:ascii="Times New Roman" w:hAnsi="Times New Roman" w:cs="Times New Roman"/>
          <w:sz w:val="24"/>
          <w:highlight w:val="none"/>
        </w:rPr>
        <w:t xml:space="preserve">乙方：                                          </w:t>
      </w:r>
    </w:p>
    <w:p w14:paraId="65DADD3B">
      <w:pPr>
        <w:widowControl/>
        <w:snapToGrid w:val="0"/>
        <w:spacing w:before="19"/>
        <w:rPr>
          <w:rFonts w:hint="default" w:ascii="Times New Roman" w:hAnsi="Times New Roman" w:cs="Times New Roman"/>
          <w:sz w:val="24"/>
          <w:highlight w:val="none"/>
        </w:rPr>
      </w:pPr>
      <w:r>
        <w:rPr>
          <w:rFonts w:hint="default" w:ascii="Times New Roman" w:hAnsi="Times New Roman" w:cs="Times New Roman"/>
          <w:sz w:val="24"/>
          <w:highlight w:val="none"/>
        </w:rPr>
        <w:t xml:space="preserve">    甲乙双方根据</w:t>
      </w:r>
      <w:r>
        <w:rPr>
          <w:rFonts w:hint="default" w:ascii="Times New Roman" w:hAnsi="Times New Roman" w:cs="Times New Roman"/>
          <w:sz w:val="24"/>
          <w:highlight w:val="none"/>
          <w:u w:val="single"/>
        </w:rPr>
        <w:t xml:space="preserve">                  </w:t>
      </w:r>
      <w:r>
        <w:rPr>
          <w:rFonts w:hint="default" w:ascii="Times New Roman" w:hAnsi="Times New Roman" w:cs="Times New Roman"/>
          <w:sz w:val="24"/>
          <w:highlight w:val="none"/>
        </w:rPr>
        <w:t>项目采购结果,依据《中华人民共和国民法典》合同编及相关法律规定，达成如下货物购销合同:</w:t>
      </w:r>
    </w:p>
    <w:p w14:paraId="72110AFD">
      <w:pPr>
        <w:widowControl/>
        <w:snapToGrid w:val="0"/>
        <w:spacing w:before="19"/>
        <w:rPr>
          <w:rFonts w:hint="default" w:ascii="Times New Roman" w:hAnsi="Times New Roman" w:cs="Times New Roman"/>
          <w:sz w:val="24"/>
          <w:highlight w:val="none"/>
        </w:rPr>
      </w:pPr>
      <w:r>
        <w:rPr>
          <w:rFonts w:hint="default" w:ascii="Times New Roman" w:hAnsi="Times New Roman" w:cs="Times New Roman"/>
          <w:sz w:val="24"/>
          <w:highlight w:val="none"/>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19C2B03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noWrap w:val="0"/>
            <w:vAlign w:val="center"/>
          </w:tcPr>
          <w:p w14:paraId="05625C01">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编号</w:t>
            </w:r>
          </w:p>
        </w:tc>
        <w:tc>
          <w:tcPr>
            <w:tcW w:w="1260" w:type="dxa"/>
            <w:tcBorders>
              <w:top w:val="single" w:color="auto" w:sz="18" w:space="0"/>
              <w:bottom w:val="single" w:color="auto" w:sz="18" w:space="0"/>
            </w:tcBorders>
            <w:shd w:val="pct10" w:color="auto" w:fill="FFFFFF"/>
            <w:noWrap w:val="0"/>
            <w:vAlign w:val="center"/>
          </w:tcPr>
          <w:p w14:paraId="3A9A01D3">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货物名称</w:t>
            </w:r>
          </w:p>
        </w:tc>
        <w:tc>
          <w:tcPr>
            <w:tcW w:w="4320" w:type="dxa"/>
            <w:tcBorders>
              <w:top w:val="single" w:color="auto" w:sz="18" w:space="0"/>
              <w:bottom w:val="single" w:color="auto" w:sz="18" w:space="0"/>
            </w:tcBorders>
            <w:shd w:val="pct10" w:color="auto" w:fill="FFFFFF"/>
            <w:noWrap w:val="0"/>
            <w:vAlign w:val="center"/>
          </w:tcPr>
          <w:p w14:paraId="6630BA7D">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规 格 型 号（品牌）</w:t>
            </w:r>
          </w:p>
        </w:tc>
        <w:tc>
          <w:tcPr>
            <w:tcW w:w="1080" w:type="dxa"/>
            <w:tcBorders>
              <w:top w:val="single" w:color="auto" w:sz="18" w:space="0"/>
              <w:bottom w:val="single" w:color="auto" w:sz="18" w:space="0"/>
            </w:tcBorders>
            <w:shd w:val="pct10" w:color="auto" w:fill="FFFFFF"/>
            <w:noWrap w:val="0"/>
            <w:vAlign w:val="center"/>
          </w:tcPr>
          <w:p w14:paraId="326B1F63">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数量</w:t>
            </w:r>
          </w:p>
        </w:tc>
        <w:tc>
          <w:tcPr>
            <w:tcW w:w="1080" w:type="dxa"/>
            <w:tcBorders>
              <w:top w:val="single" w:color="auto" w:sz="18" w:space="0"/>
              <w:bottom w:val="single" w:color="auto" w:sz="18" w:space="0"/>
              <w:right w:val="single" w:color="auto" w:sz="4" w:space="0"/>
            </w:tcBorders>
            <w:shd w:val="pct10" w:color="auto" w:fill="FFFFFF"/>
            <w:noWrap w:val="0"/>
            <w:vAlign w:val="center"/>
          </w:tcPr>
          <w:p w14:paraId="2D5446EA">
            <w:pPr>
              <w:snapToGrid w:val="0"/>
              <w:spacing w:line="240" w:lineRule="atLeast"/>
              <w:jc w:val="center"/>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noWrap w:val="0"/>
            <w:vAlign w:val="center"/>
          </w:tcPr>
          <w:p w14:paraId="591CEA41">
            <w:pPr>
              <w:widowControl/>
              <w:jc w:val="left"/>
              <w:rPr>
                <w:rFonts w:hint="default" w:ascii="Times New Roman" w:hAnsi="Times New Roman" w:eastAsia="楷体_GB2312" w:cs="Times New Roman"/>
                <w:b/>
                <w:kern w:val="0"/>
                <w:sz w:val="24"/>
                <w:highlight w:val="none"/>
              </w:rPr>
            </w:pPr>
            <w:r>
              <w:rPr>
                <w:rFonts w:hint="default" w:ascii="Times New Roman" w:hAnsi="Times New Roman" w:eastAsia="楷体_GB2312" w:cs="Times New Roman"/>
                <w:b/>
                <w:kern w:val="0"/>
                <w:sz w:val="24"/>
                <w:highlight w:val="none"/>
              </w:rPr>
              <w:t>总价（元）</w:t>
            </w:r>
          </w:p>
        </w:tc>
      </w:tr>
      <w:tr w14:paraId="4DAB4B9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noWrap w:val="0"/>
            <w:vAlign w:val="center"/>
          </w:tcPr>
          <w:p w14:paraId="65EA90E4">
            <w:pPr>
              <w:snapToGrid w:val="0"/>
              <w:spacing w:line="600" w:lineRule="atLeast"/>
              <w:rPr>
                <w:rFonts w:hint="default" w:ascii="Times New Roman" w:hAnsi="Times New Roman" w:cs="Times New Roman"/>
                <w:b/>
                <w:kern w:val="0"/>
                <w:sz w:val="24"/>
                <w:highlight w:val="none"/>
              </w:rPr>
            </w:pPr>
            <w:r>
              <w:rPr>
                <w:rFonts w:hint="default" w:ascii="Times New Roman" w:hAnsi="Times New Roman" w:cs="Times New Roman"/>
                <w:b/>
                <w:kern w:val="0"/>
                <w:sz w:val="24"/>
                <w:highlight w:val="none"/>
              </w:rPr>
              <w:t>1</w:t>
            </w:r>
          </w:p>
        </w:tc>
        <w:tc>
          <w:tcPr>
            <w:tcW w:w="1260" w:type="dxa"/>
            <w:tcBorders>
              <w:top w:val="nil"/>
              <w:bottom w:val="single" w:color="auto" w:sz="4" w:space="0"/>
            </w:tcBorders>
            <w:noWrap w:val="0"/>
            <w:vAlign w:val="center"/>
          </w:tcPr>
          <w:p w14:paraId="44732E86">
            <w:pPr>
              <w:snapToGrid w:val="0"/>
              <w:spacing w:line="600" w:lineRule="atLeast"/>
              <w:jc w:val="center"/>
              <w:rPr>
                <w:rFonts w:hint="default" w:ascii="Times New Roman" w:hAnsi="Times New Roman" w:cs="Times New Roman"/>
                <w:highlight w:val="none"/>
              </w:rPr>
            </w:pPr>
          </w:p>
        </w:tc>
        <w:tc>
          <w:tcPr>
            <w:tcW w:w="4320" w:type="dxa"/>
            <w:tcBorders>
              <w:top w:val="nil"/>
              <w:bottom w:val="single" w:color="auto" w:sz="4" w:space="0"/>
            </w:tcBorders>
            <w:noWrap w:val="0"/>
            <w:vAlign w:val="center"/>
          </w:tcPr>
          <w:p w14:paraId="6705BB11">
            <w:pPr>
              <w:spacing w:line="360" w:lineRule="auto"/>
              <w:rPr>
                <w:rFonts w:hint="default" w:ascii="Times New Roman" w:hAnsi="Times New Roman" w:cs="Times New Roman"/>
                <w:color w:val="000000"/>
                <w:szCs w:val="21"/>
                <w:highlight w:val="none"/>
              </w:rPr>
            </w:pPr>
          </w:p>
        </w:tc>
        <w:tc>
          <w:tcPr>
            <w:tcW w:w="1080" w:type="dxa"/>
            <w:tcBorders>
              <w:top w:val="nil"/>
              <w:bottom w:val="single" w:color="auto" w:sz="4" w:space="0"/>
            </w:tcBorders>
            <w:noWrap w:val="0"/>
            <w:vAlign w:val="center"/>
          </w:tcPr>
          <w:p w14:paraId="132B54AA">
            <w:pPr>
              <w:snapToGrid w:val="0"/>
              <w:spacing w:line="600" w:lineRule="atLeast"/>
              <w:ind w:firstLine="118" w:firstLineChars="49"/>
              <w:rPr>
                <w:rFonts w:hint="default" w:ascii="Times New Roman" w:hAnsi="Times New Roman" w:cs="Times New Roman"/>
                <w:b/>
                <w:kern w:val="0"/>
                <w:sz w:val="24"/>
                <w:highlight w:val="none"/>
              </w:rPr>
            </w:pPr>
          </w:p>
        </w:tc>
        <w:tc>
          <w:tcPr>
            <w:tcW w:w="1080" w:type="dxa"/>
            <w:tcBorders>
              <w:top w:val="nil"/>
              <w:bottom w:val="single" w:color="auto" w:sz="4" w:space="0"/>
              <w:right w:val="single" w:color="auto" w:sz="4" w:space="0"/>
            </w:tcBorders>
            <w:noWrap w:val="0"/>
            <w:vAlign w:val="center"/>
          </w:tcPr>
          <w:p w14:paraId="38899C14">
            <w:pPr>
              <w:spacing w:line="240" w:lineRule="atLeast"/>
              <w:jc w:val="center"/>
              <w:rPr>
                <w:rFonts w:hint="default" w:ascii="Times New Roman" w:hAnsi="Times New Roman" w:cs="Times New Roman"/>
                <w:b/>
                <w:highlight w:val="none"/>
              </w:rPr>
            </w:pPr>
          </w:p>
        </w:tc>
        <w:tc>
          <w:tcPr>
            <w:tcW w:w="1260" w:type="dxa"/>
            <w:tcBorders>
              <w:top w:val="nil"/>
              <w:bottom w:val="single" w:color="auto" w:sz="4" w:space="0"/>
              <w:right w:val="single" w:color="auto" w:sz="4" w:space="0"/>
            </w:tcBorders>
            <w:noWrap w:val="0"/>
            <w:vAlign w:val="center"/>
          </w:tcPr>
          <w:p w14:paraId="15792881">
            <w:pPr>
              <w:spacing w:line="360" w:lineRule="auto"/>
              <w:rPr>
                <w:rFonts w:hint="default" w:ascii="Times New Roman" w:hAnsi="Times New Roman" w:cs="Times New Roman"/>
                <w:highlight w:val="none"/>
              </w:rPr>
            </w:pPr>
          </w:p>
        </w:tc>
      </w:tr>
      <w:tr w14:paraId="2E7EEC2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75AE394E">
            <w:pPr>
              <w:snapToGrid w:val="0"/>
              <w:spacing w:line="600" w:lineRule="atLeast"/>
              <w:rPr>
                <w:rFonts w:hint="default" w:ascii="Times New Roman" w:hAnsi="Times New Roman" w:cs="Times New Roman"/>
                <w:b/>
                <w:kern w:val="0"/>
                <w:sz w:val="24"/>
                <w:highlight w:val="none"/>
              </w:rPr>
            </w:pPr>
            <w:r>
              <w:rPr>
                <w:rFonts w:hint="default" w:ascii="Times New Roman" w:hAnsi="Times New Roman" w:cs="Times New Roman"/>
                <w:b/>
                <w:kern w:val="0"/>
                <w:sz w:val="24"/>
                <w:highlight w:val="none"/>
              </w:rPr>
              <w:t>2</w:t>
            </w:r>
          </w:p>
        </w:tc>
        <w:tc>
          <w:tcPr>
            <w:tcW w:w="1260" w:type="dxa"/>
            <w:tcBorders>
              <w:top w:val="single" w:color="auto" w:sz="4" w:space="0"/>
              <w:bottom w:val="single" w:color="auto" w:sz="4" w:space="0"/>
            </w:tcBorders>
            <w:noWrap w:val="0"/>
            <w:vAlign w:val="center"/>
          </w:tcPr>
          <w:p w14:paraId="2000D2EC">
            <w:pPr>
              <w:snapToGrid w:val="0"/>
              <w:spacing w:line="600" w:lineRule="atLeast"/>
              <w:jc w:val="center"/>
              <w:rPr>
                <w:rFonts w:hint="default" w:ascii="Times New Roman" w:hAnsi="Times New Roman" w:cs="Times New Roman"/>
                <w:highlight w:val="none"/>
              </w:rPr>
            </w:pPr>
          </w:p>
        </w:tc>
        <w:tc>
          <w:tcPr>
            <w:tcW w:w="4320" w:type="dxa"/>
            <w:tcBorders>
              <w:top w:val="single" w:color="auto" w:sz="4" w:space="0"/>
              <w:bottom w:val="single" w:color="auto" w:sz="4" w:space="0"/>
            </w:tcBorders>
            <w:noWrap w:val="0"/>
            <w:vAlign w:val="center"/>
          </w:tcPr>
          <w:p w14:paraId="7FCA958E">
            <w:pPr>
              <w:spacing w:line="360" w:lineRule="auto"/>
              <w:rPr>
                <w:rFonts w:hint="default" w:ascii="Times New Roman" w:hAnsi="Times New Roman" w:cs="Times New Roman"/>
                <w:b/>
                <w:sz w:val="18"/>
                <w:szCs w:val="18"/>
                <w:highlight w:val="none"/>
              </w:rPr>
            </w:pPr>
          </w:p>
        </w:tc>
        <w:tc>
          <w:tcPr>
            <w:tcW w:w="1080" w:type="dxa"/>
            <w:tcBorders>
              <w:top w:val="single" w:color="auto" w:sz="4" w:space="0"/>
              <w:bottom w:val="single" w:color="auto" w:sz="4" w:space="0"/>
            </w:tcBorders>
            <w:noWrap w:val="0"/>
            <w:vAlign w:val="center"/>
          </w:tcPr>
          <w:p w14:paraId="007D9EC3">
            <w:pPr>
              <w:snapToGrid w:val="0"/>
              <w:spacing w:line="600" w:lineRule="atLeast"/>
              <w:ind w:firstLine="118" w:firstLineChars="49"/>
              <w:rPr>
                <w:rFonts w:hint="default" w:ascii="Times New Roman" w:hAnsi="Times New Roman" w:cs="Times New Roman"/>
                <w:b/>
                <w:kern w:val="0"/>
                <w:sz w:val="24"/>
                <w:highlight w:val="none"/>
              </w:rPr>
            </w:pPr>
          </w:p>
        </w:tc>
        <w:tc>
          <w:tcPr>
            <w:tcW w:w="1080" w:type="dxa"/>
            <w:tcBorders>
              <w:top w:val="single" w:color="auto" w:sz="4" w:space="0"/>
              <w:bottom w:val="single" w:color="auto" w:sz="4" w:space="0"/>
              <w:right w:val="single" w:color="auto" w:sz="4" w:space="0"/>
            </w:tcBorders>
            <w:noWrap w:val="0"/>
            <w:vAlign w:val="center"/>
          </w:tcPr>
          <w:p w14:paraId="560A8BDA">
            <w:pPr>
              <w:snapToGrid w:val="0"/>
              <w:spacing w:line="600" w:lineRule="atLeast"/>
              <w:ind w:firstLine="118" w:firstLineChars="49"/>
              <w:rPr>
                <w:rFonts w:hint="default" w:ascii="Times New Roman" w:hAnsi="Times New Roman" w:cs="Times New Roman"/>
                <w:b/>
                <w:kern w:val="0"/>
                <w:sz w:val="24"/>
                <w:highlight w:val="none"/>
              </w:rPr>
            </w:pPr>
          </w:p>
        </w:tc>
        <w:tc>
          <w:tcPr>
            <w:tcW w:w="1260" w:type="dxa"/>
            <w:tcBorders>
              <w:top w:val="single" w:color="auto" w:sz="4" w:space="0"/>
              <w:bottom w:val="single" w:color="auto" w:sz="4" w:space="0"/>
              <w:right w:val="single" w:color="auto" w:sz="4" w:space="0"/>
            </w:tcBorders>
            <w:noWrap w:val="0"/>
            <w:vAlign w:val="center"/>
          </w:tcPr>
          <w:p w14:paraId="5ED4D650">
            <w:pPr>
              <w:spacing w:line="360" w:lineRule="auto"/>
              <w:rPr>
                <w:rFonts w:hint="default" w:ascii="Times New Roman" w:hAnsi="Times New Roman" w:cs="Times New Roman"/>
                <w:highlight w:val="none"/>
              </w:rPr>
            </w:pPr>
          </w:p>
        </w:tc>
      </w:tr>
      <w:tr w14:paraId="45DAB8A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28BD2016">
            <w:pPr>
              <w:snapToGrid w:val="0"/>
              <w:spacing w:line="600" w:lineRule="atLeast"/>
              <w:rPr>
                <w:rFonts w:hint="default" w:ascii="Times New Roman" w:hAnsi="Times New Roman" w:cs="Times New Roman"/>
                <w:b/>
                <w:kern w:val="0"/>
                <w:sz w:val="24"/>
                <w:highlight w:val="none"/>
              </w:rPr>
            </w:pPr>
            <w:r>
              <w:rPr>
                <w:rFonts w:hint="default" w:ascii="Times New Roman" w:hAnsi="Times New Roman" w:cs="Times New Roman"/>
                <w:b/>
                <w:kern w:val="0"/>
                <w:sz w:val="24"/>
                <w:highlight w:val="none"/>
              </w:rPr>
              <w:t>3</w:t>
            </w:r>
          </w:p>
        </w:tc>
        <w:tc>
          <w:tcPr>
            <w:tcW w:w="1260" w:type="dxa"/>
            <w:tcBorders>
              <w:top w:val="single" w:color="auto" w:sz="4" w:space="0"/>
              <w:bottom w:val="single" w:color="auto" w:sz="4" w:space="0"/>
            </w:tcBorders>
            <w:noWrap w:val="0"/>
            <w:vAlign w:val="center"/>
          </w:tcPr>
          <w:p w14:paraId="02577A31">
            <w:pPr>
              <w:snapToGrid w:val="0"/>
              <w:spacing w:line="600" w:lineRule="atLeast"/>
              <w:jc w:val="center"/>
              <w:rPr>
                <w:rFonts w:hint="default" w:ascii="Times New Roman" w:hAnsi="Times New Roman" w:cs="Times New Roman"/>
                <w:highlight w:val="none"/>
              </w:rPr>
            </w:pPr>
          </w:p>
        </w:tc>
        <w:tc>
          <w:tcPr>
            <w:tcW w:w="4320" w:type="dxa"/>
            <w:tcBorders>
              <w:top w:val="single" w:color="auto" w:sz="4" w:space="0"/>
              <w:bottom w:val="single" w:color="auto" w:sz="4" w:space="0"/>
            </w:tcBorders>
            <w:noWrap w:val="0"/>
            <w:vAlign w:val="center"/>
          </w:tcPr>
          <w:p w14:paraId="2D894091">
            <w:pPr>
              <w:spacing w:line="360" w:lineRule="auto"/>
              <w:rPr>
                <w:rFonts w:hint="default" w:ascii="Times New Roman" w:hAnsi="Times New Roman" w:cs="Times New Roman"/>
                <w:b/>
                <w:sz w:val="18"/>
                <w:szCs w:val="18"/>
                <w:highlight w:val="none"/>
              </w:rPr>
            </w:pPr>
          </w:p>
        </w:tc>
        <w:tc>
          <w:tcPr>
            <w:tcW w:w="1080" w:type="dxa"/>
            <w:tcBorders>
              <w:top w:val="single" w:color="auto" w:sz="4" w:space="0"/>
              <w:bottom w:val="single" w:color="auto" w:sz="4" w:space="0"/>
            </w:tcBorders>
            <w:noWrap w:val="0"/>
            <w:vAlign w:val="center"/>
          </w:tcPr>
          <w:p w14:paraId="6403A6A2">
            <w:pPr>
              <w:snapToGrid w:val="0"/>
              <w:spacing w:line="600" w:lineRule="atLeast"/>
              <w:ind w:firstLine="118" w:firstLineChars="49"/>
              <w:rPr>
                <w:rFonts w:hint="default" w:ascii="Times New Roman" w:hAnsi="Times New Roman" w:cs="Times New Roman"/>
                <w:b/>
                <w:kern w:val="0"/>
                <w:sz w:val="24"/>
                <w:highlight w:val="none"/>
              </w:rPr>
            </w:pPr>
          </w:p>
        </w:tc>
        <w:tc>
          <w:tcPr>
            <w:tcW w:w="1080" w:type="dxa"/>
            <w:tcBorders>
              <w:top w:val="single" w:color="auto" w:sz="4" w:space="0"/>
              <w:bottom w:val="single" w:color="auto" w:sz="4" w:space="0"/>
              <w:right w:val="single" w:color="auto" w:sz="4" w:space="0"/>
            </w:tcBorders>
            <w:noWrap w:val="0"/>
            <w:vAlign w:val="center"/>
          </w:tcPr>
          <w:p w14:paraId="02544DE9">
            <w:pPr>
              <w:snapToGrid w:val="0"/>
              <w:spacing w:line="600" w:lineRule="atLeast"/>
              <w:ind w:firstLine="118" w:firstLineChars="49"/>
              <w:rPr>
                <w:rFonts w:hint="default" w:ascii="Times New Roman" w:hAnsi="Times New Roman" w:cs="Times New Roman"/>
                <w:b/>
                <w:kern w:val="0"/>
                <w:sz w:val="24"/>
                <w:highlight w:val="none"/>
              </w:rPr>
            </w:pPr>
          </w:p>
        </w:tc>
        <w:tc>
          <w:tcPr>
            <w:tcW w:w="1260" w:type="dxa"/>
            <w:tcBorders>
              <w:top w:val="single" w:color="auto" w:sz="4" w:space="0"/>
              <w:bottom w:val="single" w:color="auto" w:sz="4" w:space="0"/>
              <w:right w:val="single" w:color="auto" w:sz="4" w:space="0"/>
            </w:tcBorders>
            <w:noWrap w:val="0"/>
            <w:vAlign w:val="center"/>
          </w:tcPr>
          <w:p w14:paraId="739FDB8A">
            <w:pPr>
              <w:spacing w:line="360" w:lineRule="auto"/>
              <w:rPr>
                <w:rFonts w:hint="default" w:ascii="Times New Roman" w:hAnsi="Times New Roman" w:cs="Times New Roman"/>
                <w:highlight w:val="none"/>
              </w:rPr>
            </w:pPr>
          </w:p>
        </w:tc>
      </w:tr>
      <w:tr w14:paraId="4F8C99C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noWrap w:val="0"/>
            <w:vAlign w:val="center"/>
          </w:tcPr>
          <w:p w14:paraId="4BB242FF">
            <w:pPr>
              <w:rPr>
                <w:rFonts w:hint="default" w:ascii="Times New Roman" w:hAnsi="Times New Roman" w:cs="Times New Roman"/>
                <w:highlight w:val="none"/>
              </w:rPr>
            </w:pPr>
            <w:r>
              <w:rPr>
                <w:rFonts w:hint="default" w:ascii="Times New Roman" w:hAnsi="Times New Roman" w:cs="Times New Roman"/>
                <w:b/>
                <w:sz w:val="18"/>
                <w:szCs w:val="18"/>
                <w:highlight w:val="none"/>
              </w:rPr>
              <w:t xml:space="preserve">总价（人民币大写）：                                     </w:t>
            </w:r>
            <w:r>
              <w:rPr>
                <w:rFonts w:hint="default" w:ascii="Times New Roman" w:hAnsi="Times New Roman" w:cs="Times New Roman"/>
                <w:highlight w:val="none"/>
              </w:rPr>
              <w:t>合计（小写）：        元</w:t>
            </w:r>
          </w:p>
          <w:p w14:paraId="2888AD59">
            <w:pPr>
              <w:rPr>
                <w:rFonts w:hint="default" w:ascii="Times New Roman" w:hAnsi="Times New Roman" w:cs="Times New Roman"/>
                <w:highlight w:val="none"/>
              </w:rPr>
            </w:pPr>
            <w:r>
              <w:rPr>
                <w:rFonts w:hint="default" w:ascii="Times New Roman" w:hAnsi="Times New Roman" w:cs="Times New Roman"/>
                <w:sz w:val="18"/>
                <w:highlight w:val="none"/>
              </w:rPr>
              <w:t>本合同总价款是货物设计、制造、包装、仓储、运输、安装及验收合格之前以及</w:t>
            </w:r>
            <w:r>
              <w:rPr>
                <w:rFonts w:hint="default" w:ascii="Times New Roman" w:hAnsi="Times New Roman" w:cs="Times New Roman"/>
                <w:sz w:val="18"/>
                <w:highlight w:val="none"/>
                <w:lang w:val="en-US" w:eastAsia="zh-CN"/>
              </w:rPr>
              <w:t>质保</w:t>
            </w:r>
            <w:r>
              <w:rPr>
                <w:rFonts w:hint="default" w:ascii="Times New Roman" w:hAnsi="Times New Roman" w:cs="Times New Roman"/>
                <w:sz w:val="18"/>
                <w:highlight w:val="none"/>
              </w:rPr>
              <w:t>期内备品备件发生的所有含税费用。本合同总价款还包含乙方应当提供的伴随服务/售后服务费用。</w:t>
            </w:r>
          </w:p>
        </w:tc>
      </w:tr>
    </w:tbl>
    <w:p w14:paraId="177F9EF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二、交货时间：</w:t>
      </w:r>
      <w:r>
        <w:rPr>
          <w:rFonts w:hint="default" w:ascii="Times New Roman" w:hAnsi="Times New Roman" w:cs="Times New Roman"/>
          <w:sz w:val="24"/>
          <w:highlight w:val="none"/>
          <w:u w:val="single"/>
        </w:rPr>
        <w:t xml:space="preserve"> 在甲方指定时间供货。</w:t>
      </w:r>
    </w:p>
    <w:p w14:paraId="0099256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三、交货地点：由乙方负责运输至</w:t>
      </w:r>
      <w:r>
        <w:rPr>
          <w:rFonts w:hint="default" w:ascii="Times New Roman" w:hAnsi="Times New Roman" w:cs="Times New Roman"/>
          <w:sz w:val="24"/>
          <w:szCs w:val="24"/>
          <w:highlight w:val="none"/>
          <w:u w:val="single"/>
        </w:rPr>
        <w:t>甲方指定地点。</w:t>
      </w:r>
    </w:p>
    <w:p w14:paraId="709065C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四、合同定价方式</w:t>
      </w:r>
      <w:r>
        <w:rPr>
          <w:rFonts w:hint="default" w:ascii="Times New Roman" w:hAnsi="Times New Roman" w:cs="Times New Roman"/>
          <w:sz w:val="24"/>
          <w:szCs w:val="24"/>
          <w:highlight w:val="none"/>
          <w:lang w:val="en-US" w:eastAsia="zh-CN"/>
        </w:rPr>
        <w:t>及</w:t>
      </w:r>
      <w:r>
        <w:rPr>
          <w:rFonts w:hint="default" w:ascii="Times New Roman" w:hAnsi="Times New Roman" w:cs="Times New Roman"/>
          <w:sz w:val="24"/>
          <w:szCs w:val="24"/>
          <w:highlight w:val="none"/>
        </w:rPr>
        <w:t>付款方式</w:t>
      </w:r>
    </w:p>
    <w:p w14:paraId="53A40F74">
      <w:pPr>
        <w:keepNext w:val="0"/>
        <w:keepLines w:val="0"/>
        <w:pageBreakBefore w:val="0"/>
        <w:numPr>
          <w:ilvl w:val="0"/>
          <w:numId w:val="0"/>
        </w:numPr>
        <w:kinsoku/>
        <w:wordWrap/>
        <w:overflowPunct/>
        <w:topLinePunct w:val="0"/>
        <w:autoSpaceDE/>
        <w:autoSpaceDN/>
        <w:bidi w:val="0"/>
        <w:adjustRightInd w:val="0"/>
        <w:snapToGrid w:val="0"/>
        <w:spacing w:before="0" w:beforeLines="0" w:line="400" w:lineRule="exact"/>
        <w:ind w:firstLine="0" w:firstLineChars="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1.</w:t>
      </w:r>
      <w:r>
        <w:rPr>
          <w:rFonts w:hint="default" w:ascii="Times New Roman" w:hAnsi="Times New Roman" w:cs="Times New Roman"/>
          <w:sz w:val="24"/>
          <w:szCs w:val="24"/>
          <w:highlight w:val="none"/>
        </w:rPr>
        <w:t>合同定价方式：</w:t>
      </w:r>
    </w:p>
    <w:p w14:paraId="6B9964CA">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eastAsia="宋体" w:cs="Times New Roman"/>
          <w:sz w:val="24"/>
          <w:szCs w:val="24"/>
          <w:highlight w:val="none"/>
          <w:lang w:eastAsia="zh-CN"/>
        </w:rPr>
      </w:pP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rPr>
        <w:t>固定总价</w:t>
      </w:r>
      <w:r>
        <w:rPr>
          <w:rFonts w:hint="default" w:ascii="Times New Roman" w:hAnsi="Times New Roman" w:cs="Times New Roman"/>
          <w:iCs/>
          <w:sz w:val="24"/>
          <w:szCs w:val="24"/>
          <w:highlight w:val="none"/>
          <w:lang w:val="en-US" w:eastAsia="zh-CN"/>
        </w:rPr>
        <w:t xml:space="preserve">    </w:t>
      </w:r>
      <w:r>
        <w:rPr>
          <w:rFonts w:hint="default" w:ascii="Times New Roman" w:hAnsi="Times New Roman" w:cs="Times New Roman"/>
          <w:iCs/>
          <w:sz w:val="24"/>
          <w:szCs w:val="24"/>
          <w:highlight w:val="none"/>
        </w:rPr>
        <w:t xml:space="preserve"> </w:t>
      </w: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rPr>
        <w:t>固定单价</w:t>
      </w:r>
      <w:r>
        <w:rPr>
          <w:rFonts w:hint="default" w:ascii="Times New Roman" w:hAnsi="Times New Roman" w:cs="Times New Roman"/>
          <w:iCs/>
          <w:sz w:val="24"/>
          <w:szCs w:val="24"/>
          <w:highlight w:val="none"/>
          <w:lang w:val="en-US" w:eastAsia="zh-CN"/>
        </w:rPr>
        <w:t xml:space="preserve">    </w:t>
      </w: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lang w:eastAsia="zh-CN"/>
        </w:rPr>
        <w:t>固定费率</w:t>
      </w:r>
      <w:r>
        <w:rPr>
          <w:rFonts w:hint="default" w:ascii="Times New Roman" w:hAnsi="Times New Roman" w:cs="Times New Roman"/>
          <w:iCs/>
          <w:sz w:val="24"/>
          <w:szCs w:val="24"/>
          <w:highlight w:val="none"/>
          <w:lang w:val="en-US" w:eastAsia="zh-CN"/>
        </w:rPr>
        <w:t xml:space="preserve">    </w:t>
      </w:r>
      <w:r>
        <w:rPr>
          <w:rFonts w:hint="default" w:ascii="Times New Roman" w:hAnsi="Times New Roman" w:cs="Times New Roman"/>
          <w:iCs/>
          <w:sz w:val="24"/>
          <w:szCs w:val="24"/>
          <w:highlight w:val="none"/>
        </w:rPr>
        <w:sym w:font="Wingdings" w:char="00A8"/>
      </w:r>
      <w:r>
        <w:rPr>
          <w:rFonts w:hint="default" w:ascii="Times New Roman" w:hAnsi="Times New Roman" w:cs="Times New Roman"/>
          <w:iCs/>
          <w:sz w:val="24"/>
          <w:szCs w:val="24"/>
          <w:highlight w:val="none"/>
          <w:lang w:eastAsia="zh-CN"/>
        </w:rPr>
        <w:t>其他</w:t>
      </w:r>
      <w:r>
        <w:rPr>
          <w:rFonts w:hint="default" w:ascii="Times New Roman" w:hAnsi="Times New Roman" w:cs="Times New Roman"/>
          <w:sz w:val="24"/>
          <w:szCs w:val="24"/>
          <w:highlight w:val="none"/>
          <w:u w:val="single"/>
        </w:rPr>
        <w:t xml:space="preserve">       </w:t>
      </w:r>
    </w:p>
    <w:p w14:paraId="06E9C081">
      <w:pPr>
        <w:keepNext w:val="0"/>
        <w:keepLines w:val="0"/>
        <w:pageBreakBefore w:val="0"/>
        <w:widowControl/>
        <w:numPr>
          <w:ilvl w:val="0"/>
          <w:numId w:val="0"/>
        </w:numPr>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2.</w:t>
      </w:r>
      <w:r>
        <w:rPr>
          <w:rFonts w:hint="default" w:ascii="Times New Roman" w:hAnsi="Times New Roman" w:cs="Times New Roman"/>
          <w:sz w:val="24"/>
          <w:szCs w:val="24"/>
          <w:highlight w:val="none"/>
          <w:lang w:val="en-US" w:eastAsia="zh-CN"/>
        </w:rPr>
        <w:t>付款方式</w:t>
      </w:r>
      <w:r>
        <w:rPr>
          <w:rFonts w:hint="eastAsia" w:ascii="Times New Roman" w:hAnsi="Times New Roman" w:cs="Times New Roman"/>
          <w:sz w:val="24"/>
          <w:szCs w:val="24"/>
          <w:highlight w:val="none"/>
          <w:lang w:val="en-US" w:eastAsia="zh-CN"/>
        </w:rPr>
        <w:t>：</w:t>
      </w:r>
    </w:p>
    <w:p w14:paraId="29A13C12">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cs="Times New Roman"/>
          <w:sz w:val="24"/>
          <w:szCs w:val="24"/>
          <w:highlight w:val="none"/>
          <w:u w:val="none"/>
        </w:rPr>
      </w:pPr>
      <w:r>
        <w:rPr>
          <w:rFonts w:hint="default" w:ascii="Times New Roman" w:hAnsi="Times New Roman" w:cs="Times New Roman"/>
          <w:sz w:val="24"/>
          <w:szCs w:val="24"/>
          <w:highlight w:val="none"/>
        </w:rPr>
        <w:sym w:font="Wingdings" w:char="00A8"/>
      </w:r>
      <w:r>
        <w:rPr>
          <w:rFonts w:hint="default" w:ascii="Times New Roman" w:hAnsi="Times New Roman" w:cs="Times New Roman"/>
          <w:sz w:val="24"/>
          <w:szCs w:val="24"/>
          <w:highlight w:val="none"/>
          <w:lang w:val="en-US" w:eastAsia="zh-CN"/>
        </w:rPr>
        <w:t>预付款</w:t>
      </w:r>
      <w:r>
        <w:rPr>
          <w:rFonts w:hint="default" w:ascii="Times New Roman" w:hAnsi="Times New Roman" w:cs="Times New Roman"/>
          <w:sz w:val="24"/>
          <w:szCs w:val="24"/>
          <w:highlight w:val="none"/>
        </w:rPr>
        <w:t>：</w:t>
      </w:r>
      <w:r>
        <w:rPr>
          <w:rFonts w:hint="default" w:ascii="Times New Roman" w:hAnsi="Times New Roman" w:cs="Times New Roman"/>
          <w:sz w:val="24"/>
          <w:szCs w:val="24"/>
          <w:highlight w:val="none"/>
          <w:u w:val="none"/>
        </w:rPr>
        <w:t xml:space="preserve"> </w:t>
      </w:r>
      <w:r>
        <w:rPr>
          <w:rFonts w:hint="default" w:ascii="Times New Roman" w:hAnsi="Times New Roman" w:cs="Times New Roman"/>
          <w:sz w:val="24"/>
          <w:szCs w:val="24"/>
          <w:highlight w:val="none"/>
          <w:u w:val="none"/>
          <w:lang w:val="en-US" w:eastAsia="zh-CN"/>
        </w:rPr>
        <w:t>合同签订后</w:t>
      </w:r>
      <w:r>
        <w:rPr>
          <w:rFonts w:hint="default" w:ascii="Times New Roman" w:hAnsi="Times New Roman" w:cs="Times New Roman"/>
          <w:sz w:val="24"/>
          <w:szCs w:val="24"/>
          <w:highlight w:val="none"/>
        </w:rPr>
        <w:t>_______</w:t>
      </w:r>
      <w:r>
        <w:rPr>
          <w:rFonts w:hint="default" w:ascii="Times New Roman" w:hAnsi="Times New Roman" w:cs="Times New Roman"/>
          <w:sz w:val="24"/>
          <w:szCs w:val="24"/>
          <w:highlight w:val="none"/>
          <w:lang w:val="en-US" w:eastAsia="zh-CN"/>
        </w:rPr>
        <w:t>个</w:t>
      </w:r>
      <w:r>
        <w:rPr>
          <w:rFonts w:hint="default" w:ascii="Times New Roman" w:hAnsi="Times New Roman" w:cs="Times New Roman"/>
          <w:sz w:val="24"/>
          <w:szCs w:val="24"/>
          <w:highlight w:val="none"/>
          <w:u w:val="none"/>
          <w:lang w:val="en-US" w:eastAsia="zh-CN"/>
        </w:rPr>
        <w:t>工作日内支付合同金额的</w:t>
      </w:r>
      <w:r>
        <w:rPr>
          <w:rFonts w:hint="default" w:ascii="Times New Roman" w:hAnsi="Times New Roman" w:cs="Times New Roman"/>
          <w:sz w:val="24"/>
          <w:szCs w:val="24"/>
          <w:highlight w:val="none"/>
        </w:rPr>
        <w:t>_______</w:t>
      </w:r>
      <w:r>
        <w:rPr>
          <w:rFonts w:hint="default" w:ascii="Times New Roman" w:hAnsi="Times New Roman" w:cs="Times New Roman"/>
          <w:sz w:val="24"/>
          <w:szCs w:val="24"/>
          <w:highlight w:val="none"/>
          <w:u w:val="none"/>
          <w:lang w:val="en-US" w:eastAsia="zh-CN"/>
        </w:rPr>
        <w:t xml:space="preserve"> %</w:t>
      </w:r>
      <w:r>
        <w:rPr>
          <w:rFonts w:hint="default" w:ascii="Times New Roman" w:hAnsi="Times New Roman" w:cs="Times New Roman"/>
          <w:sz w:val="24"/>
          <w:szCs w:val="24"/>
          <w:highlight w:val="none"/>
          <w:u w:val="none"/>
        </w:rPr>
        <w:t xml:space="preserve"> （</w:t>
      </w:r>
      <w:r>
        <w:rPr>
          <w:rFonts w:hint="default" w:ascii="Times New Roman" w:hAnsi="Times New Roman" w:cs="Times New Roman"/>
          <w:sz w:val="24"/>
          <w:szCs w:val="24"/>
          <w:highlight w:val="none"/>
          <w:u w:val="none"/>
          <w:lang w:val="en-US" w:eastAsia="zh-CN"/>
        </w:rPr>
        <w:t>有预付款的勾选并填写本项</w:t>
      </w:r>
      <w:r>
        <w:rPr>
          <w:rFonts w:hint="default" w:ascii="Times New Roman" w:hAnsi="Times New Roman" w:cs="Times New Roman"/>
          <w:sz w:val="24"/>
          <w:szCs w:val="24"/>
          <w:highlight w:val="none"/>
          <w:u w:val="none"/>
        </w:rPr>
        <w:t>）</w:t>
      </w:r>
      <w:r>
        <w:rPr>
          <w:rFonts w:hint="default" w:ascii="Times New Roman" w:hAnsi="Times New Roman" w:cs="Times New Roman"/>
          <w:sz w:val="24"/>
          <w:szCs w:val="24"/>
          <w:highlight w:val="none"/>
          <w:u w:val="none"/>
          <w:lang w:eastAsia="zh-CN"/>
        </w:rPr>
        <w:t>；</w:t>
      </w:r>
    </w:p>
    <w:p w14:paraId="5FA2933C">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cs="Times New Roman"/>
          <w:sz w:val="24"/>
          <w:szCs w:val="24"/>
          <w:highlight w:val="none"/>
          <w:u w:val="none"/>
          <w:lang w:eastAsia="zh-CN"/>
        </w:rPr>
      </w:pPr>
      <w:r>
        <w:rPr>
          <w:rFonts w:hint="default" w:ascii="Times New Roman" w:hAnsi="Times New Roman" w:cs="Times New Roman"/>
          <w:sz w:val="24"/>
          <w:szCs w:val="24"/>
          <w:highlight w:val="none"/>
        </w:rPr>
        <w:sym w:font="Wingdings" w:char="00A8"/>
      </w:r>
      <w:r>
        <w:rPr>
          <w:rFonts w:hint="default" w:ascii="Times New Roman" w:hAnsi="Times New Roman" w:cs="Times New Roman"/>
          <w:sz w:val="24"/>
          <w:szCs w:val="24"/>
          <w:highlight w:val="none"/>
          <w:lang w:val="en-US" w:eastAsia="zh-CN"/>
        </w:rPr>
        <w:t>进度款</w:t>
      </w:r>
      <w:r>
        <w:rPr>
          <w:rFonts w:hint="default" w:ascii="Times New Roman" w:hAnsi="Times New Roman" w:cs="Times New Roman"/>
          <w:sz w:val="24"/>
          <w:szCs w:val="24"/>
          <w:highlight w:val="none"/>
        </w:rPr>
        <w:t>：</w:t>
      </w:r>
      <w:r>
        <w:rPr>
          <w:rFonts w:hint="default" w:ascii="Times New Roman" w:hAnsi="Times New Roman" w:cs="Times New Roman"/>
          <w:sz w:val="24"/>
          <w:szCs w:val="24"/>
          <w:highlight w:val="none"/>
          <w:u w:val="none"/>
        </w:rPr>
        <w:t xml:space="preserve"> </w:t>
      </w:r>
      <w:r>
        <w:rPr>
          <w:rFonts w:hint="default" w:ascii="Times New Roman" w:hAnsi="Times New Roman" w:cs="Times New Roman"/>
          <w:sz w:val="24"/>
          <w:szCs w:val="24"/>
          <w:highlight w:val="none"/>
        </w:rPr>
        <w:t>________________________________________________________</w:t>
      </w:r>
      <w:r>
        <w:rPr>
          <w:rFonts w:hint="default" w:ascii="Times New Roman" w:hAnsi="Times New Roman" w:cs="Times New Roman"/>
          <w:sz w:val="24"/>
          <w:szCs w:val="24"/>
          <w:highlight w:val="none"/>
          <w:u w:val="none"/>
          <w:lang w:val="en-US" w:eastAsia="zh-CN"/>
        </w:rPr>
        <w:t>支付合同金额的</w:t>
      </w:r>
      <w:r>
        <w:rPr>
          <w:rFonts w:hint="default" w:ascii="Times New Roman" w:hAnsi="Times New Roman" w:cs="Times New Roman"/>
          <w:sz w:val="24"/>
          <w:szCs w:val="24"/>
          <w:highlight w:val="none"/>
        </w:rPr>
        <w:t>_______</w:t>
      </w:r>
      <w:r>
        <w:rPr>
          <w:rFonts w:hint="default" w:ascii="Times New Roman" w:hAnsi="Times New Roman" w:cs="Times New Roman"/>
          <w:sz w:val="24"/>
          <w:szCs w:val="24"/>
          <w:highlight w:val="none"/>
          <w:u w:val="none"/>
          <w:lang w:val="en-US" w:eastAsia="zh-CN"/>
        </w:rPr>
        <w:t xml:space="preserve"> %</w:t>
      </w:r>
      <w:r>
        <w:rPr>
          <w:rFonts w:hint="default" w:ascii="Times New Roman" w:hAnsi="Times New Roman" w:cs="Times New Roman"/>
          <w:sz w:val="24"/>
          <w:szCs w:val="24"/>
          <w:highlight w:val="none"/>
          <w:u w:val="none"/>
        </w:rPr>
        <w:t xml:space="preserve"> （</w:t>
      </w:r>
      <w:r>
        <w:rPr>
          <w:rFonts w:hint="default" w:ascii="Times New Roman" w:hAnsi="Times New Roman" w:cs="Times New Roman"/>
          <w:sz w:val="24"/>
          <w:szCs w:val="24"/>
          <w:highlight w:val="none"/>
          <w:u w:val="none"/>
          <w:lang w:val="en-US" w:eastAsia="zh-CN"/>
        </w:rPr>
        <w:t>分期支付进度款的勾选并填写本项，</w:t>
      </w:r>
      <w:r>
        <w:rPr>
          <w:rFonts w:hint="default" w:ascii="Times New Roman" w:hAnsi="Times New Roman" w:cs="Times New Roman"/>
          <w:sz w:val="24"/>
          <w:szCs w:val="24"/>
          <w:highlight w:val="none"/>
          <w:u w:val="none"/>
        </w:rPr>
        <w:t>应明确分期支付合同款项的各期比例和支付条件</w:t>
      </w:r>
      <w:r>
        <w:rPr>
          <w:rFonts w:hint="default" w:ascii="Times New Roman" w:hAnsi="Times New Roman" w:cs="Times New Roman"/>
          <w:sz w:val="24"/>
          <w:szCs w:val="24"/>
          <w:highlight w:val="none"/>
          <w:u w:val="none"/>
          <w:lang w:eastAsia="zh-CN"/>
        </w:rPr>
        <w:t>，各期支付条件应与履约情况挂钩</w:t>
      </w:r>
      <w:r>
        <w:rPr>
          <w:rFonts w:hint="default" w:ascii="Times New Roman" w:hAnsi="Times New Roman" w:cs="Times New Roman"/>
          <w:sz w:val="24"/>
          <w:szCs w:val="24"/>
          <w:highlight w:val="none"/>
          <w:u w:val="none"/>
        </w:rPr>
        <w:t>）</w:t>
      </w:r>
      <w:r>
        <w:rPr>
          <w:rFonts w:hint="default" w:ascii="Times New Roman" w:hAnsi="Times New Roman" w:cs="Times New Roman"/>
          <w:sz w:val="24"/>
          <w:szCs w:val="24"/>
          <w:highlight w:val="none"/>
          <w:u w:val="none"/>
          <w:lang w:eastAsia="zh-CN"/>
        </w:rPr>
        <w:t>；</w:t>
      </w:r>
    </w:p>
    <w:p w14:paraId="428CC002">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sym w:font="Wingdings" w:char="00FE"/>
      </w:r>
      <w:r>
        <w:rPr>
          <w:rFonts w:hint="default" w:ascii="Times New Roman" w:hAnsi="Times New Roman" w:cs="Times New Roman"/>
          <w:sz w:val="24"/>
          <w:szCs w:val="24"/>
          <w:highlight w:val="none"/>
        </w:rPr>
        <w:t>验收合格后</w:t>
      </w:r>
      <w:r>
        <w:rPr>
          <w:rFonts w:hint="eastAsia" w:ascii="Times New Roman" w:hAnsi="Times New Roman" w:cs="Times New Roman"/>
          <w:sz w:val="24"/>
          <w:szCs w:val="24"/>
          <w:highlight w:val="none"/>
          <w:lang w:val="en-US" w:eastAsia="zh-CN"/>
        </w:rPr>
        <w:t>30</w:t>
      </w:r>
      <w:r>
        <w:rPr>
          <w:rFonts w:hint="default" w:ascii="Times New Roman" w:hAnsi="Times New Roman" w:cs="Times New Roman"/>
          <w:sz w:val="24"/>
          <w:szCs w:val="24"/>
          <w:highlight w:val="none"/>
        </w:rPr>
        <w:t>日内支付合同总价的__</w:t>
      </w:r>
      <w:r>
        <w:rPr>
          <w:rFonts w:hint="eastAsia" w:ascii="Times New Roman" w:hAnsi="Times New Roman" w:cs="Times New Roman"/>
          <w:sz w:val="24"/>
          <w:szCs w:val="24"/>
          <w:highlight w:val="none"/>
          <w:lang w:val="en-US" w:eastAsia="zh-CN"/>
        </w:rPr>
        <w:t>100</w:t>
      </w:r>
      <w:r>
        <w:rPr>
          <w:rFonts w:hint="default" w:ascii="Times New Roman" w:hAnsi="Times New Roman" w:cs="Times New Roman"/>
          <w:sz w:val="24"/>
          <w:szCs w:val="24"/>
          <w:highlight w:val="none"/>
        </w:rPr>
        <w:t>_____%</w:t>
      </w:r>
      <w:r>
        <w:rPr>
          <w:rFonts w:hint="default" w:ascii="Times New Roman" w:hAnsi="Times New Roman" w:cs="Times New Roman"/>
          <w:sz w:val="24"/>
          <w:szCs w:val="24"/>
          <w:highlight w:val="none"/>
          <w:lang w:eastAsia="zh-CN"/>
        </w:rPr>
        <w:t>（支付条件应与验收情况挂钩）；</w:t>
      </w:r>
    </w:p>
    <w:p w14:paraId="172E5B2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sym w:font="Wingdings" w:char="00A8"/>
      </w:r>
      <w:r>
        <w:rPr>
          <w:rFonts w:hint="default" w:ascii="Times New Roman" w:hAnsi="Times New Roman" w:cs="Times New Roman"/>
          <w:sz w:val="24"/>
          <w:szCs w:val="24"/>
          <w:highlight w:val="none"/>
          <w:lang w:val="en-US" w:eastAsia="zh-CN"/>
        </w:rPr>
        <w:t>其他</w:t>
      </w:r>
      <w:r>
        <w:rPr>
          <w:rFonts w:hint="default" w:ascii="Times New Roman" w:hAnsi="Times New Roman" w:cs="Times New Roman"/>
          <w:sz w:val="24"/>
          <w:szCs w:val="24"/>
          <w:highlight w:val="none"/>
        </w:rPr>
        <w:t>：</w:t>
      </w:r>
      <w:r>
        <w:rPr>
          <w:rFonts w:hint="default" w:ascii="Times New Roman" w:hAnsi="Times New Roman" w:cs="Times New Roman"/>
          <w:sz w:val="24"/>
          <w:szCs w:val="24"/>
          <w:highlight w:val="none"/>
          <w:u w:val="none"/>
        </w:rPr>
        <w:t xml:space="preserve"> </w:t>
      </w:r>
      <w:r>
        <w:rPr>
          <w:rFonts w:hint="default" w:ascii="Times New Roman" w:hAnsi="Times New Roman" w:cs="Times New Roman"/>
          <w:sz w:val="24"/>
          <w:szCs w:val="24"/>
          <w:highlight w:val="none"/>
        </w:rPr>
        <w:t>________________________________________________________。</w:t>
      </w:r>
    </w:p>
    <w:p w14:paraId="4A65F47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付款金额</w:t>
      </w:r>
      <w:r>
        <w:rPr>
          <w:rFonts w:hint="default" w:ascii="Times New Roman" w:hAnsi="Times New Roman" w:cs="Times New Roman"/>
          <w:sz w:val="24"/>
          <w:szCs w:val="24"/>
          <w:highlight w:val="none"/>
          <w:lang w:val="en-US" w:eastAsia="zh-CN"/>
        </w:rPr>
        <w:t>均</w:t>
      </w:r>
      <w:r>
        <w:rPr>
          <w:rFonts w:hint="default" w:ascii="Times New Roman" w:hAnsi="Times New Roman" w:cs="Times New Roman"/>
          <w:sz w:val="24"/>
          <w:szCs w:val="24"/>
          <w:highlight w:val="none"/>
        </w:rPr>
        <w:t>不计利息。</w:t>
      </w:r>
    </w:p>
    <w:p w14:paraId="22E3A0B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五、质保期：_______(自验收合格之日起计。</w:t>
      </w:r>
      <w:r>
        <w:rPr>
          <w:rFonts w:hint="default" w:ascii="Times New Roman" w:hAnsi="Times New Roman" w:eastAsia="宋体" w:cs="Times New Roman"/>
          <w:kern w:val="2"/>
          <w:sz w:val="24"/>
          <w:szCs w:val="24"/>
          <w:highlight w:val="none"/>
          <w:lang w:val="en-US" w:eastAsia="zh-CN" w:bidi="ar-SA"/>
        </w:rPr>
        <w:t>在质量保证期内所发现的缺陷，</w:t>
      </w:r>
      <w:r>
        <w:rPr>
          <w:rFonts w:hint="eastAsia" w:ascii="Times New Roman" w:hAnsi="Times New Roman" w:eastAsia="宋体" w:cs="Times New Roman"/>
          <w:kern w:val="2"/>
          <w:sz w:val="24"/>
          <w:szCs w:val="24"/>
          <w:highlight w:val="none"/>
          <w:lang w:val="en-US" w:eastAsia="zh-CN" w:bidi="ar-SA"/>
        </w:rPr>
        <w:t>乙方</w:t>
      </w:r>
      <w:r>
        <w:rPr>
          <w:rFonts w:hint="default" w:ascii="Times New Roman" w:hAnsi="Times New Roman" w:eastAsia="宋体" w:cs="Times New Roman"/>
          <w:kern w:val="2"/>
          <w:sz w:val="24"/>
          <w:szCs w:val="24"/>
          <w:highlight w:val="none"/>
          <w:lang w:val="en-US" w:eastAsia="zh-CN" w:bidi="ar-SA"/>
        </w:rPr>
        <w:t>应在</w:t>
      </w:r>
      <w:r>
        <w:rPr>
          <w:rFonts w:hint="eastAsia" w:ascii="Times New Roman" w:hAnsi="Times New Roman" w:eastAsia="宋体" w:cs="Times New Roman"/>
          <w:kern w:val="2"/>
          <w:sz w:val="24"/>
          <w:szCs w:val="24"/>
          <w:highlight w:val="none"/>
          <w:lang w:val="en-US" w:eastAsia="zh-CN" w:bidi="ar-SA"/>
        </w:rPr>
        <w:t>约定</w:t>
      </w:r>
      <w:r>
        <w:rPr>
          <w:rFonts w:hint="default" w:ascii="Times New Roman" w:hAnsi="Times New Roman" w:eastAsia="宋体" w:cs="Times New Roman"/>
          <w:kern w:val="2"/>
          <w:sz w:val="24"/>
          <w:szCs w:val="24"/>
          <w:highlight w:val="none"/>
          <w:lang w:val="en-US" w:eastAsia="zh-CN" w:bidi="ar-SA"/>
        </w:rPr>
        <w:t>的响应时间内以合理的速度免费维修或更换有缺陷的货物或部件</w:t>
      </w:r>
      <w:r>
        <w:rPr>
          <w:rFonts w:hint="default" w:ascii="Times New Roman" w:hAnsi="Times New Roman" w:cs="Times New Roman"/>
          <w:sz w:val="24"/>
          <w:highlight w:val="none"/>
        </w:rPr>
        <w:t>。)</w:t>
      </w:r>
    </w:p>
    <w:p w14:paraId="3EDC1C07">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六、质量要求、技术标准、乙方对质量负责的条件和期限：</w:t>
      </w:r>
    </w:p>
    <w:p w14:paraId="0E6819D8">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1</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乙方所提供的货物，若技术性能无特殊说明，则按生产企业或国家有关部门最新颁布的标准及规范为准。</w:t>
      </w:r>
    </w:p>
    <w:p w14:paraId="4FD7E0E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2</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6D4A91B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七、验收标准：甲方应当在到货且安装调试完成后___10___日内对货物进行验收，验收包括：型号、规格、数量、外观质量、及货物包装是否完好，安装调试是否合格，以及其技术性能是否符合本合同、</w:t>
      </w:r>
      <w:r>
        <w:rPr>
          <w:rFonts w:hint="default" w:ascii="Times New Roman" w:hAnsi="Times New Roman" w:cs="Times New Roman"/>
          <w:sz w:val="24"/>
          <w:highlight w:val="none"/>
          <w:lang w:val="en-US" w:eastAsia="zh-CN"/>
        </w:rPr>
        <w:t>采购</w:t>
      </w:r>
      <w:r>
        <w:rPr>
          <w:rFonts w:hint="default" w:ascii="Times New Roman" w:hAnsi="Times New Roman" w:cs="Times New Roman"/>
          <w:sz w:val="24"/>
          <w:highlight w:val="none"/>
        </w:rPr>
        <w:t>文件及</w:t>
      </w:r>
      <w:r>
        <w:rPr>
          <w:rFonts w:hint="default" w:ascii="Times New Roman" w:hAnsi="Times New Roman" w:cs="Times New Roman"/>
          <w:sz w:val="24"/>
          <w:highlight w:val="none"/>
          <w:lang w:val="en-US" w:eastAsia="zh-CN"/>
        </w:rPr>
        <w:t>响应文件</w:t>
      </w:r>
      <w:r>
        <w:rPr>
          <w:rFonts w:hint="default" w:ascii="Times New Roman" w:hAnsi="Times New Roman" w:cs="Times New Roman"/>
          <w:sz w:val="24"/>
          <w:highlight w:val="none"/>
        </w:rPr>
        <w:t>所述标准。所提供货物的装箱清单、用户手册、原厂保修卡、随机资料及配件、随机工具等是否齐全。验收时乙方必须在现场，逾期未到场且未书面提出合理异议的，视为认可甲方的单方验收结果。</w:t>
      </w:r>
    </w:p>
    <w:p w14:paraId="73F4C45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八、工程部分（两万元</w:t>
      </w:r>
      <w:r>
        <w:rPr>
          <w:rFonts w:hint="eastAsia" w:ascii="Times New Roman" w:hAnsi="Times New Roman" w:cs="Times New Roman"/>
          <w:sz w:val="24"/>
          <w:highlight w:val="none"/>
          <w:lang w:val="en-US" w:eastAsia="zh-CN"/>
        </w:rPr>
        <w:t>及</w:t>
      </w:r>
      <w:r>
        <w:rPr>
          <w:rFonts w:hint="default" w:ascii="Times New Roman" w:hAnsi="Times New Roman" w:cs="Times New Roman"/>
          <w:sz w:val="24"/>
          <w:highlight w:val="none"/>
        </w:rPr>
        <w:t>以上）需按南京邮电大学审计相关规定执行。</w:t>
      </w:r>
    </w:p>
    <w:p w14:paraId="7F13014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九、本</w:t>
      </w:r>
      <w:r>
        <w:rPr>
          <w:rFonts w:hint="eastAsia" w:ascii="Times New Roman" w:hAnsi="Times New Roman" w:cs="Times New Roman"/>
          <w:sz w:val="24"/>
          <w:highlight w:val="none"/>
          <w:lang w:val="en-US" w:eastAsia="zh-CN"/>
        </w:rPr>
        <w:t>合同</w:t>
      </w:r>
      <w:r>
        <w:rPr>
          <w:rFonts w:hint="default" w:ascii="Times New Roman" w:hAnsi="Times New Roman" w:cs="Times New Roman"/>
          <w:sz w:val="24"/>
          <w:highlight w:val="none"/>
        </w:rPr>
        <w:t>与下列文件一起构成合同文件，如下述文件之间有任何抵触、矛盾或歧义，应按以下顺序解释：</w:t>
      </w:r>
    </w:p>
    <w:p w14:paraId="0AD1F0C3">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1.本合同</w:t>
      </w:r>
      <w:r>
        <w:rPr>
          <w:rFonts w:hint="default" w:ascii="Times New Roman" w:hAnsi="Times New Roman" w:cs="Times New Roman"/>
          <w:sz w:val="24"/>
          <w:highlight w:val="none"/>
        </w:rPr>
        <w:t>及其变更、补充协议</w:t>
      </w:r>
    </w:p>
    <w:p w14:paraId="7B95A68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2.</w:t>
      </w:r>
      <w:r>
        <w:rPr>
          <w:rFonts w:hint="default" w:ascii="Times New Roman" w:hAnsi="Times New Roman" w:cs="Times New Roman"/>
          <w:sz w:val="24"/>
          <w:highlight w:val="none"/>
        </w:rPr>
        <w:t>中标（成交）通知书</w:t>
      </w:r>
    </w:p>
    <w:p w14:paraId="62BE6FC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3.</w:t>
      </w:r>
      <w:r>
        <w:rPr>
          <w:rFonts w:hint="default" w:ascii="Times New Roman" w:hAnsi="Times New Roman" w:cs="Times New Roman"/>
          <w:sz w:val="24"/>
          <w:highlight w:val="none"/>
        </w:rPr>
        <w:t>投标（响应）文件</w:t>
      </w:r>
    </w:p>
    <w:p w14:paraId="690E5C58">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4.</w:t>
      </w:r>
      <w:r>
        <w:rPr>
          <w:rFonts w:hint="default" w:ascii="Times New Roman" w:hAnsi="Times New Roman" w:cs="Times New Roman"/>
          <w:sz w:val="24"/>
          <w:highlight w:val="none"/>
        </w:rPr>
        <w:t>采购文件</w:t>
      </w:r>
    </w:p>
    <w:p w14:paraId="1E89C62E">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5.</w:t>
      </w:r>
      <w:r>
        <w:rPr>
          <w:rFonts w:hint="default" w:ascii="Times New Roman" w:hAnsi="Times New Roman" w:cs="Times New Roman"/>
          <w:sz w:val="24"/>
          <w:highlight w:val="none"/>
        </w:rPr>
        <w:t>有关技术文件，图纸</w:t>
      </w:r>
    </w:p>
    <w:p w14:paraId="7A7F6AAD">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eastAsia" w:ascii="Times New Roman" w:hAnsi="Times New Roman" w:cs="Times New Roman"/>
          <w:sz w:val="24"/>
          <w:highlight w:val="none"/>
          <w:lang w:val="en-US" w:eastAsia="zh-CN"/>
        </w:rPr>
        <w:t>6.</w:t>
      </w:r>
      <w:r>
        <w:rPr>
          <w:rFonts w:hint="default" w:ascii="Times New Roman" w:hAnsi="Times New Roman" w:cs="Times New Roman"/>
          <w:sz w:val="24"/>
          <w:highlight w:val="none"/>
        </w:rPr>
        <w:t>国家法律、行政法规和规章制度规定或合同约定的作为合同组成部分的其他文件</w:t>
      </w:r>
    </w:p>
    <w:p w14:paraId="58739D8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十、违约责任</w:t>
      </w:r>
    </w:p>
    <w:p w14:paraId="5D5C4D3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1</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甲方无正当理由拒收货物、拒付货物款的，由甲方向乙方偿付合同总价的</w:t>
      </w:r>
      <w:r>
        <w:rPr>
          <w:rFonts w:hint="default" w:ascii="Times New Roman" w:hAnsi="Times New Roman" w:cs="Times New Roman"/>
          <w:sz w:val="24"/>
          <w:highlight w:val="none"/>
          <w:lang w:val="en-US" w:eastAsia="zh-CN"/>
        </w:rPr>
        <w:t>10</w:t>
      </w:r>
      <w:r>
        <w:rPr>
          <w:rFonts w:hint="default" w:ascii="Times New Roman" w:hAnsi="Times New Roman" w:cs="Times New Roman"/>
          <w:sz w:val="24"/>
          <w:highlight w:val="none"/>
        </w:rPr>
        <w:t>%违约金。如乙方不能交付货物，乙方应向甲方支付合同总价</w:t>
      </w:r>
      <w:r>
        <w:rPr>
          <w:rFonts w:hint="default" w:ascii="Times New Roman" w:hAnsi="Times New Roman" w:cs="Times New Roman"/>
          <w:sz w:val="24"/>
          <w:highlight w:val="none"/>
          <w:lang w:val="en-US" w:eastAsia="zh-CN"/>
        </w:rPr>
        <w:t>10</w:t>
      </w:r>
      <w:r>
        <w:rPr>
          <w:rFonts w:hint="default" w:ascii="Times New Roman" w:hAnsi="Times New Roman" w:cs="Times New Roman"/>
          <w:sz w:val="24"/>
          <w:highlight w:val="none"/>
        </w:rPr>
        <w:t>％的违约金。若该违约金不足以弥补甲方损失的，乙方还应予以赔偿。</w:t>
      </w:r>
    </w:p>
    <w:p w14:paraId="72847953">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2</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乙方逾期交付货物的，乙方应按逾期交货总额每日</w:t>
      </w:r>
      <w:r>
        <w:rPr>
          <w:rFonts w:hint="eastAsia" w:ascii="Times New Roman" w:hAnsi="Times New Roman" w:cs="Times New Roman"/>
          <w:sz w:val="24"/>
          <w:highlight w:val="none"/>
          <w:u w:val="single"/>
          <w:lang w:val="en-US" w:eastAsia="zh-CN"/>
        </w:rPr>
        <w:t xml:space="preserve">   5</w:t>
      </w:r>
      <w:r>
        <w:rPr>
          <w:rFonts w:hint="default" w:ascii="Times New Roman" w:hAnsi="Times New Roman" w:cs="Times New Roman"/>
          <w:sz w:val="24"/>
          <w:highlight w:val="none"/>
          <w:u w:val="single"/>
        </w:rPr>
        <w:t>‰</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向甲方支付违约金，由甲方从待付货款中扣除。逾期超过约定日期30个工作日不能交货的，甲方可解除本合同。乙方因逾期交货或因其他违约行为导致甲方解除合同的，乙方应向甲方支付合同总值</w:t>
      </w:r>
      <w:r>
        <w:rPr>
          <w:rFonts w:hint="default" w:ascii="Times New Roman" w:hAnsi="Times New Roman" w:cs="Times New Roman"/>
          <w:sz w:val="24"/>
          <w:highlight w:val="none"/>
          <w:lang w:val="en-US" w:eastAsia="zh-CN"/>
        </w:rPr>
        <w:t>10</w:t>
      </w:r>
      <w:r>
        <w:rPr>
          <w:rFonts w:hint="default" w:ascii="Times New Roman" w:hAnsi="Times New Roman" w:cs="Times New Roman"/>
          <w:sz w:val="24"/>
          <w:highlight w:val="none"/>
        </w:rPr>
        <w:t xml:space="preserve">%的违约金，如造成甲方损失超过违约金的，超出部分由乙方继续承担赔偿责任。 </w:t>
      </w:r>
    </w:p>
    <w:p w14:paraId="4D07E044">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3</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乙方所交的货物品种、型号、规格、技术参数、质量不符合合同规定及</w:t>
      </w:r>
      <w:r>
        <w:rPr>
          <w:rFonts w:hint="eastAsia" w:ascii="Times New Roman" w:hAnsi="Times New Roman" w:cs="Times New Roman"/>
          <w:sz w:val="24"/>
          <w:highlight w:val="none"/>
          <w:lang w:val="en-US" w:eastAsia="zh-CN"/>
        </w:rPr>
        <w:t>采购</w:t>
      </w:r>
      <w:r>
        <w:rPr>
          <w:rFonts w:hint="default" w:ascii="Times New Roman" w:hAnsi="Times New Roman" w:cs="Times New Roman"/>
          <w:sz w:val="24"/>
          <w:highlight w:val="none"/>
        </w:rPr>
        <w:t>文件</w:t>
      </w:r>
      <w:r>
        <w:rPr>
          <w:rFonts w:hint="eastAsia" w:ascii="Times New Roman" w:hAnsi="Times New Roman" w:cs="Times New Roman"/>
          <w:sz w:val="24"/>
          <w:highlight w:val="none"/>
          <w:lang w:eastAsia="zh-CN"/>
        </w:rPr>
        <w:t>、</w:t>
      </w:r>
      <w:r>
        <w:rPr>
          <w:rFonts w:hint="eastAsia" w:ascii="Times New Roman" w:hAnsi="Times New Roman" w:cs="Times New Roman"/>
          <w:sz w:val="24"/>
          <w:highlight w:val="none"/>
          <w:lang w:val="en-US" w:eastAsia="zh-CN"/>
        </w:rPr>
        <w:t>响应文件</w:t>
      </w:r>
      <w:r>
        <w:rPr>
          <w:rFonts w:hint="default" w:ascii="Times New Roman" w:hAnsi="Times New Roman" w:cs="Times New Roman"/>
          <w:sz w:val="24"/>
          <w:highlight w:val="none"/>
        </w:rPr>
        <w:t>标准的，甲方有权拒收该货物，乙方愿意更换货物但逾期交货的，按乙方逾期交货处理。乙方拒绝更换货物的，甲方可单方面解除合同。</w:t>
      </w:r>
    </w:p>
    <w:p w14:paraId="614D42C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4</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0842D5A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十一、 合同的变更和终止</w:t>
      </w:r>
    </w:p>
    <w:p w14:paraId="2B22E1B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依据</w:t>
      </w:r>
      <w:r>
        <w:rPr>
          <w:rFonts w:hint="default" w:ascii="Times New Roman" w:hAnsi="Times New Roman" w:cs="Times New Roman"/>
          <w:sz w:val="24"/>
          <w:highlight w:val="none"/>
        </w:rPr>
        <w:t>《政府采购法》第</w:t>
      </w:r>
      <w:r>
        <w:rPr>
          <w:rFonts w:hint="default" w:ascii="Times New Roman" w:hAnsi="Times New Roman" w:cs="Times New Roman"/>
          <w:sz w:val="24"/>
          <w:highlight w:val="none"/>
          <w:lang w:val="en-US" w:eastAsia="zh-CN"/>
        </w:rPr>
        <w:t>五十</w:t>
      </w:r>
      <w:r>
        <w:rPr>
          <w:rFonts w:hint="default" w:ascii="Times New Roman" w:hAnsi="Times New Roman" w:cs="Times New Roman"/>
          <w:sz w:val="24"/>
          <w:highlight w:val="none"/>
        </w:rPr>
        <w:t>条</w:t>
      </w:r>
      <w:r>
        <w:rPr>
          <w:rFonts w:hint="default" w:ascii="Times New Roman" w:hAnsi="Times New Roman" w:cs="Times New Roman"/>
          <w:sz w:val="24"/>
          <w:highlight w:val="none"/>
          <w:lang w:eastAsia="zh-CN"/>
        </w:rPr>
        <w:t>，</w:t>
      </w:r>
      <w:r>
        <w:rPr>
          <w:rFonts w:hint="default" w:ascii="Times New Roman" w:hAnsi="Times New Roman" w:cs="Times New Roman"/>
          <w:sz w:val="24"/>
          <w:highlight w:val="none"/>
        </w:rPr>
        <w:t>本合同一经签订，甲乙双方不得擅自变更、中止或终止合同。</w:t>
      </w:r>
      <w:r>
        <w:rPr>
          <w:rFonts w:hint="default" w:ascii="Times New Roman" w:hAnsi="Times New Roman" w:cs="Times New Roman"/>
          <w:sz w:val="24"/>
          <w:highlight w:val="none"/>
          <w:lang w:val="en-US" w:eastAsia="zh-CN"/>
        </w:rPr>
        <w:t>特殊情况</w:t>
      </w:r>
      <w:r>
        <w:rPr>
          <w:rFonts w:hint="default" w:ascii="Times New Roman" w:hAnsi="Times New Roman" w:cs="Times New Roman"/>
          <w:sz w:val="24"/>
          <w:highlight w:val="none"/>
        </w:rPr>
        <w:t>确需变更</w:t>
      </w:r>
      <w:r>
        <w:rPr>
          <w:rFonts w:hint="default" w:ascii="Times New Roman" w:hAnsi="Times New Roman" w:cs="Times New Roman"/>
          <w:sz w:val="24"/>
          <w:highlight w:val="none"/>
          <w:lang w:val="en-US" w:eastAsia="zh-CN"/>
        </w:rPr>
        <w:t>且符合规定情形的</w:t>
      </w:r>
      <w:r>
        <w:rPr>
          <w:rFonts w:hint="default" w:ascii="Times New Roman" w:hAnsi="Times New Roman" w:cs="Times New Roman"/>
          <w:sz w:val="24"/>
          <w:highlight w:val="none"/>
        </w:rPr>
        <w:t>，应由甲乙双方协商一致，并签订书面补充协议。</w:t>
      </w:r>
    </w:p>
    <w:p w14:paraId="7E1D94E1">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十二、合同的转让</w:t>
      </w:r>
    </w:p>
    <w:p w14:paraId="613098AC">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乙方不得擅自部分或全部转让其应履行的合同义务。</w:t>
      </w:r>
    </w:p>
    <w:p w14:paraId="2ABE432E">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十三、 争议的解决</w:t>
      </w:r>
    </w:p>
    <w:p w14:paraId="6A3EBEC8">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1</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因货物的质量问题发生争议的，应当邀请国家认可的质量检测机构对货物质量进行鉴定。货物符合标准的，鉴定费由甲方承担；货物不符合质量标准的，鉴定费由乙方承担、并更换有问题商品或部件。</w:t>
      </w:r>
    </w:p>
    <w:p w14:paraId="4AD23F2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2</w:t>
      </w:r>
      <w:r>
        <w:rPr>
          <w:rFonts w:hint="eastAsia" w:ascii="Times New Roman" w:hAnsi="Times New Roman" w:cs="Times New Roman"/>
          <w:sz w:val="24"/>
          <w:highlight w:val="none"/>
          <w:lang w:val="en-US" w:eastAsia="zh-CN"/>
        </w:rPr>
        <w:t>.</w:t>
      </w:r>
      <w:r>
        <w:rPr>
          <w:rFonts w:hint="default" w:ascii="Times New Roman" w:hAnsi="Times New Roman" w:cs="Times New Roman"/>
          <w:sz w:val="24"/>
          <w:highlight w:val="none"/>
        </w:rPr>
        <w:t>因履行本合同引起的或与本合同有关的争议，甲、乙双方应首先通过友好协商解决，如果协商不能解决争议，任何一方均可向甲方所在地人民法院起诉解决。</w:t>
      </w:r>
    </w:p>
    <w:p w14:paraId="45B9DADA">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十四、付款前乙方须提供</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u w:val="single"/>
        </w:rPr>
        <w:t>增值税</w:t>
      </w:r>
      <w:r>
        <w:rPr>
          <w:rFonts w:hint="eastAsia" w:ascii="Times New Roman" w:hAnsi="Times New Roman" w:cs="Times New Roman"/>
          <w:sz w:val="24"/>
          <w:highlight w:val="none"/>
          <w:u w:val="single"/>
          <w:lang w:val="en-US" w:eastAsia="zh-CN"/>
        </w:rPr>
        <w:t>专用</w:t>
      </w:r>
      <w:r>
        <w:rPr>
          <w:rFonts w:hint="default" w:ascii="Times New Roman" w:hAnsi="Times New Roman" w:cs="Times New Roman"/>
          <w:sz w:val="24"/>
          <w:highlight w:val="none"/>
          <w:u w:val="single"/>
        </w:rPr>
        <w:t>发票</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，总价不变。</w:t>
      </w:r>
    </w:p>
    <w:p w14:paraId="6E1DBD2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highlight w:val="none"/>
        </w:rPr>
      </w:pPr>
      <w:r>
        <w:rPr>
          <w:rFonts w:hint="default" w:ascii="Times New Roman" w:hAnsi="Times New Roman" w:cs="Times New Roman"/>
          <w:sz w:val="24"/>
          <w:highlight w:val="none"/>
        </w:rPr>
        <w:t>十五、本合同由甲、乙双方共同签订，合同一式</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份，甲方</w:t>
      </w:r>
      <w:r>
        <w:rPr>
          <w:rFonts w:hint="eastAsia" w:ascii="Times New Roman" w:hAnsi="Times New Roman" w:cs="Times New Roman"/>
          <w:sz w:val="24"/>
          <w:highlight w:val="none"/>
          <w:u w:val="single"/>
          <w:lang w:val="en-US" w:eastAsia="zh-CN"/>
        </w:rPr>
        <w:t xml:space="preserve">    三   </w:t>
      </w:r>
      <w:r>
        <w:rPr>
          <w:rFonts w:hint="default" w:ascii="Times New Roman" w:hAnsi="Times New Roman" w:cs="Times New Roman"/>
          <w:sz w:val="24"/>
          <w:highlight w:val="none"/>
        </w:rPr>
        <w:t>份、乙方</w:t>
      </w:r>
      <w:r>
        <w:rPr>
          <w:rFonts w:hint="eastAsia" w:ascii="Times New Roman" w:hAnsi="Times New Roman" w:cs="Times New Roman"/>
          <w:sz w:val="24"/>
          <w:highlight w:val="none"/>
          <w:u w:val="single"/>
          <w:lang w:val="en-US" w:eastAsia="zh-CN"/>
        </w:rPr>
        <w:t xml:space="preserve">       </w:t>
      </w:r>
      <w:r>
        <w:rPr>
          <w:rFonts w:hint="default" w:ascii="Times New Roman" w:hAnsi="Times New Roman" w:cs="Times New Roman"/>
          <w:sz w:val="24"/>
          <w:highlight w:val="none"/>
        </w:rPr>
        <w:t>份。自双方签字、盖章之日起生效。</w:t>
      </w:r>
    </w:p>
    <w:p w14:paraId="2C8711EF">
      <w:pPr>
        <w:widowControl/>
        <w:snapToGrid w:val="0"/>
        <w:spacing w:before="19" w:line="360" w:lineRule="auto"/>
        <w:ind w:firstLine="360" w:firstLineChars="200"/>
        <w:rPr>
          <w:rFonts w:hint="default" w:ascii="Times New Roman" w:hAnsi="Times New Roman" w:cs="Times New Roman"/>
          <w:sz w:val="18"/>
          <w:highlight w:val="none"/>
        </w:rPr>
      </w:pPr>
    </w:p>
    <w:p w14:paraId="623DD726">
      <w:pPr>
        <w:widowControl/>
        <w:snapToGrid w:val="0"/>
        <w:spacing w:before="19" w:line="360" w:lineRule="auto"/>
        <w:ind w:firstLine="360" w:firstLineChars="200"/>
        <w:rPr>
          <w:rFonts w:hint="default" w:ascii="Times New Roman" w:hAnsi="Times New Roman" w:cs="Times New Roman"/>
          <w:sz w:val="18"/>
          <w:highlight w:val="none"/>
        </w:rPr>
      </w:pPr>
    </w:p>
    <w:p w14:paraId="4FB0DA81">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甲方                                               乙方</w:t>
      </w:r>
    </w:p>
    <w:p w14:paraId="6EAA1562">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单位名称：南京邮电大学                             单位名称：</w:t>
      </w:r>
    </w:p>
    <w:p w14:paraId="5AC45FE8">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单位地址：                                         单位地址：</w:t>
      </w:r>
    </w:p>
    <w:p w14:paraId="1392D804">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法定代表人：                                       法定代表人：</w:t>
      </w:r>
    </w:p>
    <w:p w14:paraId="185B8CC5">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委托代理人（签字）：                                委托代理人（签字）：</w:t>
      </w:r>
    </w:p>
    <w:p w14:paraId="39D7E11C">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 xml:space="preserve">联系电话：                                         联系电话：                                            </w:t>
      </w:r>
    </w:p>
    <w:p w14:paraId="2AAF08ED">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开户银行：</w:t>
      </w:r>
      <w:r>
        <w:rPr>
          <w:rFonts w:hint="default" w:ascii="Times New Roman" w:hAnsi="Times New Roman" w:cs="Times New Roman"/>
          <w:sz w:val="18"/>
          <w:highlight w:val="none"/>
          <w:lang w:val="en-US" w:eastAsia="zh-CN"/>
        </w:rPr>
        <w:t xml:space="preserve">                    </w:t>
      </w:r>
      <w:r>
        <w:rPr>
          <w:rFonts w:hint="default" w:ascii="Times New Roman" w:hAnsi="Times New Roman" w:cs="Times New Roman"/>
          <w:sz w:val="18"/>
          <w:highlight w:val="none"/>
        </w:rPr>
        <w:t xml:space="preserve">                     开户银行： </w:t>
      </w:r>
    </w:p>
    <w:p w14:paraId="559C78EB">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 xml:space="preserve">户名： 南京邮电大学                                户名： </w:t>
      </w:r>
    </w:p>
    <w:p w14:paraId="573BC0E0">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 xml:space="preserve">                                                   账号： </w:t>
      </w:r>
    </w:p>
    <w:p w14:paraId="7AD6FF8E">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 xml:space="preserve">                                                   行号：  </w:t>
      </w:r>
    </w:p>
    <w:p w14:paraId="17CD1C65">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地址、电话：南京市栖霞区文苑路9 号　025-85866388    项目联系人：</w:t>
      </w:r>
    </w:p>
    <w:p w14:paraId="1FFC6F9D">
      <w:pPr>
        <w:widowControl/>
        <w:snapToGrid w:val="0"/>
        <w:spacing w:before="19" w:line="360" w:lineRule="auto"/>
        <w:ind w:firstLine="360" w:firstLineChars="200"/>
        <w:rPr>
          <w:rFonts w:hint="default" w:ascii="Times New Roman" w:hAnsi="Times New Roman" w:cs="Times New Roman"/>
          <w:sz w:val="18"/>
          <w:highlight w:val="none"/>
        </w:rPr>
      </w:pPr>
      <w:r>
        <w:rPr>
          <w:rFonts w:hint="default" w:ascii="Times New Roman" w:hAnsi="Times New Roman" w:cs="Times New Roman"/>
          <w:sz w:val="18"/>
          <w:highlight w:val="none"/>
        </w:rPr>
        <w:t>签约日期（即合同生效日期）：    年     月     日       联系电话：</w:t>
      </w:r>
    </w:p>
    <w:p w14:paraId="1063BE2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0C8B4938">
      <w:pPr>
        <w:pStyle w:val="267"/>
        <w:rPr>
          <w:rFonts w:ascii="宋体" w:hAnsi="宋体"/>
          <w:b/>
          <w:color w:val="000000" w:themeColor="text1"/>
          <w:sz w:val="72"/>
          <w:highlight w:val="none"/>
          <w14:textFill>
            <w14:solidFill>
              <w14:schemeClr w14:val="tx1"/>
            </w14:solidFill>
          </w14:textFill>
        </w:rPr>
      </w:pP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六章  响应文件格式及附件</w:t>
      </w:r>
    </w:p>
    <w:p w14:paraId="5684AD14">
      <w:pPr>
        <w:spacing w:line="360" w:lineRule="auto"/>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响应文件</w:t>
      </w:r>
    </w:p>
    <w:p w14:paraId="3AF0B9E6">
      <w:pPr>
        <w:spacing w:line="360" w:lineRule="auto"/>
        <w:ind w:firstLine="2472" w:firstLineChars="1026"/>
        <w:rPr>
          <w:rFonts w:ascii="宋体" w:hAnsi="宋体"/>
          <w:b/>
          <w:color w:val="000000" w:themeColor="text1"/>
          <w:sz w:val="24"/>
          <w:highlight w:val="none"/>
          <w14:textFill>
            <w14:solidFill>
              <w14:schemeClr w14:val="tx1"/>
            </w14:solidFill>
          </w14:textFill>
        </w:rPr>
      </w:pPr>
    </w:p>
    <w:p w14:paraId="40187A08">
      <w:pPr>
        <w:spacing w:line="360" w:lineRule="auto"/>
        <w:jc w:val="center"/>
        <w:rPr>
          <w:rFonts w:ascii="宋体" w:hAnsi="宋体"/>
          <w:b/>
          <w:color w:val="000000" w:themeColor="text1"/>
          <w:sz w:val="24"/>
          <w:highlight w:val="none"/>
          <w14:textFill>
            <w14:solidFill>
              <w14:schemeClr w14:val="tx1"/>
            </w14:solidFill>
          </w14:textFill>
        </w:rPr>
      </w:pPr>
    </w:p>
    <w:p w14:paraId="060E57B5">
      <w:pPr>
        <w:spacing w:line="360" w:lineRule="auto"/>
        <w:jc w:val="center"/>
        <w:rPr>
          <w:rFonts w:ascii="宋体" w:hAnsi="宋体"/>
          <w:b/>
          <w:color w:val="000000" w:themeColor="text1"/>
          <w:sz w:val="24"/>
          <w:highlight w:val="none"/>
          <w14:textFill>
            <w14:solidFill>
              <w14:schemeClr w14:val="tx1"/>
            </w14:solidFill>
          </w14:textFill>
        </w:rPr>
      </w:pPr>
    </w:p>
    <w:p w14:paraId="6F476336">
      <w:pPr>
        <w:spacing w:before="480" w:beforeLines="200" w:line="360" w:lineRule="auto"/>
        <w:jc w:val="center"/>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（正或副本）</w:t>
      </w:r>
    </w:p>
    <w:p w14:paraId="20B6121E">
      <w:pPr>
        <w:spacing w:line="360" w:lineRule="auto"/>
        <w:jc w:val="center"/>
        <w:rPr>
          <w:rFonts w:ascii="宋体" w:hAnsi="宋体"/>
          <w:b/>
          <w:color w:val="000000" w:themeColor="text1"/>
          <w:sz w:val="24"/>
          <w:highlight w:val="none"/>
          <w14:textFill>
            <w14:solidFill>
              <w14:schemeClr w14:val="tx1"/>
            </w14:solidFill>
          </w14:textFill>
        </w:rPr>
      </w:pPr>
    </w:p>
    <w:p w14:paraId="03E1DA59">
      <w:pPr>
        <w:spacing w:line="360" w:lineRule="auto"/>
        <w:rPr>
          <w:rFonts w:ascii="宋体" w:hAnsi="宋体"/>
          <w:b/>
          <w:color w:val="000000" w:themeColor="text1"/>
          <w:sz w:val="24"/>
          <w:highlight w:val="none"/>
          <w14:textFill>
            <w14:solidFill>
              <w14:schemeClr w14:val="tx1"/>
            </w14:solidFill>
          </w14:textFill>
        </w:rPr>
      </w:pPr>
    </w:p>
    <w:p w14:paraId="0A824CD2">
      <w:pPr>
        <w:spacing w:line="360" w:lineRule="auto"/>
        <w:jc w:val="center"/>
        <w:rPr>
          <w:rFonts w:ascii="宋体" w:hAnsi="宋体"/>
          <w:b/>
          <w:color w:val="000000" w:themeColor="text1"/>
          <w:sz w:val="24"/>
          <w:highlight w:val="none"/>
          <w14:textFill>
            <w14:solidFill>
              <w14:schemeClr w14:val="tx1"/>
            </w14:solidFill>
          </w14:textFill>
        </w:rPr>
      </w:pPr>
    </w:p>
    <w:p w14:paraId="43C9C884">
      <w:pPr>
        <w:spacing w:line="360" w:lineRule="auto"/>
        <w:rPr>
          <w:rFonts w:ascii="宋体" w:hAnsi="宋体"/>
          <w:b/>
          <w:color w:val="000000" w:themeColor="text1"/>
          <w:sz w:val="24"/>
          <w:highlight w:val="none"/>
          <w14:textFill>
            <w14:solidFill>
              <w14:schemeClr w14:val="tx1"/>
            </w14:solidFill>
          </w14:textFill>
        </w:rPr>
      </w:pPr>
    </w:p>
    <w:p w14:paraId="2F1E3A95">
      <w:pPr>
        <w:spacing w:line="360" w:lineRule="auto"/>
        <w:jc w:val="center"/>
        <w:rPr>
          <w:rFonts w:ascii="宋体" w:hAnsi="宋体"/>
          <w:b/>
          <w:color w:val="000000" w:themeColor="text1"/>
          <w:sz w:val="24"/>
          <w:highlight w:val="none"/>
          <w14:textFill>
            <w14:solidFill>
              <w14:schemeClr w14:val="tx1"/>
            </w14:solidFill>
          </w14:textFill>
        </w:rPr>
      </w:pPr>
    </w:p>
    <w:p w14:paraId="35BA3CAC">
      <w:pPr>
        <w:pStyle w:val="259"/>
        <w:ind w:firstLine="0"/>
        <w:jc w:val="center"/>
        <w:rPr>
          <w:rFonts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项目编号：</w:t>
      </w:r>
      <w:r>
        <w:rPr>
          <w:rFonts w:asciiTheme="majorEastAsia" w:hAnsiTheme="majorEastAsia" w:eastAsiaTheme="majorEastAsia"/>
          <w:b/>
          <w:sz w:val="36"/>
          <w:szCs w:val="36"/>
          <w:highlight w:val="none"/>
        </w:rPr>
        <w:t>XXXXX</w:t>
      </w:r>
    </w:p>
    <w:p w14:paraId="44B66475">
      <w:pPr>
        <w:spacing w:line="360" w:lineRule="auto"/>
        <w:ind w:firstLine="843" w:firstLineChars="300"/>
        <w:rPr>
          <w:rFonts w:ascii="宋体" w:hAnsi="宋体"/>
          <w:b/>
          <w:color w:val="000000" w:themeColor="text1"/>
          <w:sz w:val="28"/>
          <w:szCs w:val="28"/>
          <w:highlight w:val="none"/>
          <w14:textFill>
            <w14:solidFill>
              <w14:schemeClr w14:val="tx1"/>
            </w14:solidFill>
          </w14:textFill>
        </w:rPr>
      </w:pPr>
    </w:p>
    <w:p w14:paraId="2438AB68">
      <w:pPr>
        <w:pStyle w:val="259"/>
        <w:ind w:firstLine="0"/>
        <w:jc w:val="center"/>
        <w:rPr>
          <w:rFonts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项目名称：</w:t>
      </w:r>
      <w:r>
        <w:rPr>
          <w:rFonts w:asciiTheme="majorEastAsia" w:hAnsiTheme="majorEastAsia" w:eastAsiaTheme="majorEastAsia"/>
          <w:b/>
          <w:sz w:val="36"/>
          <w:szCs w:val="36"/>
          <w:highlight w:val="none"/>
        </w:rPr>
        <w:t>XXXXX</w:t>
      </w:r>
    </w:p>
    <w:p w14:paraId="2D147286">
      <w:pPr>
        <w:spacing w:line="360" w:lineRule="auto"/>
        <w:ind w:firstLine="843" w:firstLineChars="300"/>
        <w:rPr>
          <w:rFonts w:ascii="宋体" w:hAnsi="宋体"/>
          <w:b/>
          <w:color w:val="000000" w:themeColor="text1"/>
          <w:sz w:val="28"/>
          <w:szCs w:val="28"/>
          <w:highlight w:val="none"/>
          <w:u w:val="single"/>
          <w14:textFill>
            <w14:solidFill>
              <w14:schemeClr w14:val="tx1"/>
            </w14:solidFill>
          </w14:textFill>
        </w:rPr>
      </w:pPr>
    </w:p>
    <w:p w14:paraId="047A4BEF">
      <w:pPr>
        <w:spacing w:line="360" w:lineRule="auto"/>
        <w:rPr>
          <w:rFonts w:ascii="宋体" w:hAnsi="宋体"/>
          <w:b/>
          <w:color w:val="000000" w:themeColor="text1"/>
          <w:sz w:val="28"/>
          <w:szCs w:val="28"/>
          <w:highlight w:val="none"/>
          <w14:textFill>
            <w14:solidFill>
              <w14:schemeClr w14:val="tx1"/>
            </w14:solidFill>
          </w14:textFill>
        </w:rPr>
      </w:pPr>
    </w:p>
    <w:p w14:paraId="62BFCDB7">
      <w:pPr>
        <w:spacing w:line="360" w:lineRule="auto"/>
        <w:rPr>
          <w:rFonts w:ascii="宋体" w:hAnsi="宋体"/>
          <w:b/>
          <w:color w:val="000000" w:themeColor="text1"/>
          <w:sz w:val="28"/>
          <w:szCs w:val="28"/>
          <w:highlight w:val="none"/>
          <w14:textFill>
            <w14:solidFill>
              <w14:schemeClr w14:val="tx1"/>
            </w14:solidFill>
          </w14:textFill>
        </w:rPr>
      </w:pPr>
    </w:p>
    <w:p w14:paraId="7343C0AA">
      <w:pPr>
        <w:spacing w:line="360" w:lineRule="auto"/>
        <w:rPr>
          <w:rFonts w:ascii="宋体" w:hAnsi="宋体"/>
          <w:b/>
          <w:color w:val="000000" w:themeColor="text1"/>
          <w:sz w:val="28"/>
          <w:szCs w:val="28"/>
          <w:highlight w:val="none"/>
          <w14:textFill>
            <w14:solidFill>
              <w14:schemeClr w14:val="tx1"/>
            </w14:solidFill>
          </w14:textFill>
        </w:rPr>
      </w:pPr>
    </w:p>
    <w:p w14:paraId="09433C23">
      <w:pPr>
        <w:spacing w:line="360" w:lineRule="auto"/>
        <w:rPr>
          <w:rFonts w:ascii="宋体" w:hAnsi="宋体"/>
          <w:b/>
          <w:color w:val="000000" w:themeColor="text1"/>
          <w:sz w:val="28"/>
          <w:szCs w:val="28"/>
          <w:highlight w:val="none"/>
          <w14:textFill>
            <w14:solidFill>
              <w14:schemeClr w14:val="tx1"/>
            </w14:solidFill>
          </w14:textFill>
        </w:rPr>
      </w:pPr>
    </w:p>
    <w:p w14:paraId="7366C049">
      <w:pPr>
        <w:spacing w:line="360" w:lineRule="auto"/>
        <w:rPr>
          <w:rFonts w:ascii="宋体" w:hAnsi="宋体"/>
          <w:b/>
          <w:color w:val="000000" w:themeColor="text1"/>
          <w:sz w:val="28"/>
          <w:szCs w:val="28"/>
          <w:highlight w:val="none"/>
          <w14:textFill>
            <w14:solidFill>
              <w14:schemeClr w14:val="tx1"/>
            </w14:solidFill>
          </w14:textFill>
        </w:rPr>
      </w:pPr>
    </w:p>
    <w:p w14:paraId="47EBABDA">
      <w:pPr>
        <w:spacing w:line="360" w:lineRule="auto"/>
        <w:rPr>
          <w:rFonts w:ascii="宋体" w:hAnsi="宋体"/>
          <w:b/>
          <w:color w:val="000000" w:themeColor="text1"/>
          <w:sz w:val="28"/>
          <w:szCs w:val="28"/>
          <w:highlight w:val="none"/>
          <w14:textFill>
            <w14:solidFill>
              <w14:schemeClr w14:val="tx1"/>
            </w14:solidFill>
          </w14:textFill>
        </w:rPr>
      </w:pPr>
    </w:p>
    <w:p w14:paraId="372CA370">
      <w:pPr>
        <w:spacing w:line="360" w:lineRule="auto"/>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供应商名称：</w:t>
      </w:r>
      <w:r>
        <w:rPr>
          <w:rFonts w:asciiTheme="majorEastAsia" w:hAnsiTheme="majorEastAsia" w:eastAsiaTheme="majorEastAsia"/>
          <w:b/>
          <w:sz w:val="30"/>
          <w:szCs w:val="30"/>
          <w:highlight w:val="none"/>
        </w:rPr>
        <w:t>XXXXXXXX</w:t>
      </w:r>
    </w:p>
    <w:p w14:paraId="4686BFFA">
      <w:pP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日期：</w:t>
      </w:r>
      <w:r>
        <w:rPr>
          <w:rFonts w:asciiTheme="majorEastAsia" w:hAnsiTheme="majorEastAsia" w:eastAsiaTheme="majorEastAsia"/>
          <w:b/>
          <w:sz w:val="30"/>
          <w:szCs w:val="30"/>
          <w:highlight w:val="none"/>
        </w:rPr>
        <w:t>XXXXXXXX</w:t>
      </w:r>
    </w:p>
    <w:p w14:paraId="3A7FADD1">
      <w:pPr>
        <w:spacing w:line="360" w:lineRule="auto"/>
        <w:rPr>
          <w:rFonts w:ascii="宋体" w:hAnsi="宋体"/>
          <w:b/>
          <w:color w:val="000000" w:themeColor="text1"/>
          <w:sz w:val="30"/>
          <w:szCs w:val="30"/>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2" w:name="_Toc405408732"/>
      <w:r>
        <w:rPr>
          <w:rFonts w:hint="eastAsia" w:ascii="宋体" w:hAnsi="宋体"/>
          <w:b/>
          <w:color w:val="000000" w:themeColor="text1"/>
          <w:sz w:val="30"/>
          <w:szCs w:val="30"/>
          <w:highlight w:val="none"/>
          <w14:textFill>
            <w14:solidFill>
              <w14:schemeClr w14:val="tx1"/>
            </w14:solidFill>
          </w14:textFill>
        </w:rPr>
        <w:t>评分索引表</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3E125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F3BF627">
            <w:pPr>
              <w:spacing w:line="360" w:lineRule="auto"/>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评分项目</w:t>
            </w:r>
          </w:p>
        </w:tc>
        <w:tc>
          <w:tcPr>
            <w:tcW w:w="1783" w:type="pct"/>
          </w:tcPr>
          <w:p w14:paraId="4A5F1E18">
            <w:pPr>
              <w:spacing w:line="360" w:lineRule="auto"/>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在响应文件中的页码位置</w:t>
            </w:r>
          </w:p>
        </w:tc>
      </w:tr>
      <w:tr w14:paraId="26BF5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607D5BE3">
            <w:pPr>
              <w:spacing w:line="360" w:lineRule="auto"/>
              <w:rPr>
                <w:rFonts w:ascii="宋体" w:hAnsi="宋体"/>
                <w:b/>
                <w:color w:val="000000" w:themeColor="text1"/>
                <w:highlight w:val="none"/>
                <w14:textFill>
                  <w14:solidFill>
                    <w14:schemeClr w14:val="tx1"/>
                  </w14:solidFill>
                </w14:textFill>
              </w:rPr>
            </w:pPr>
          </w:p>
        </w:tc>
        <w:tc>
          <w:tcPr>
            <w:tcW w:w="1783" w:type="pct"/>
          </w:tcPr>
          <w:p w14:paraId="443B01C2">
            <w:pPr>
              <w:spacing w:line="360" w:lineRule="auto"/>
              <w:rPr>
                <w:rFonts w:ascii="宋体" w:hAnsi="宋体"/>
                <w:b/>
                <w:color w:val="000000" w:themeColor="text1"/>
                <w:highlight w:val="none"/>
                <w14:textFill>
                  <w14:solidFill>
                    <w14:schemeClr w14:val="tx1"/>
                  </w14:solidFill>
                </w14:textFill>
              </w:rPr>
            </w:pPr>
          </w:p>
        </w:tc>
      </w:tr>
      <w:tr w14:paraId="78645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15946145">
            <w:pPr>
              <w:spacing w:line="360" w:lineRule="auto"/>
              <w:rPr>
                <w:rFonts w:ascii="宋体" w:hAnsi="宋体"/>
                <w:b/>
                <w:color w:val="000000" w:themeColor="text1"/>
                <w:highlight w:val="none"/>
                <w14:textFill>
                  <w14:solidFill>
                    <w14:schemeClr w14:val="tx1"/>
                  </w14:solidFill>
                </w14:textFill>
              </w:rPr>
            </w:pPr>
          </w:p>
        </w:tc>
      </w:tr>
      <w:tr w14:paraId="690A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3C30191D">
            <w:pPr>
              <w:spacing w:line="360" w:lineRule="auto"/>
              <w:rPr>
                <w:rFonts w:ascii="宋体" w:hAnsi="宋体"/>
                <w:b/>
                <w:color w:val="000000" w:themeColor="text1"/>
                <w:highlight w:val="none"/>
                <w14:textFill>
                  <w14:solidFill>
                    <w14:schemeClr w14:val="tx1"/>
                  </w14:solidFill>
                </w14:textFill>
              </w:rPr>
            </w:pPr>
          </w:p>
        </w:tc>
        <w:tc>
          <w:tcPr>
            <w:tcW w:w="1783" w:type="pct"/>
          </w:tcPr>
          <w:p w14:paraId="1C4047AD">
            <w:pPr>
              <w:spacing w:line="360" w:lineRule="auto"/>
              <w:rPr>
                <w:rFonts w:ascii="宋体" w:hAnsi="宋体"/>
                <w:b/>
                <w:color w:val="000000" w:themeColor="text1"/>
                <w:highlight w:val="none"/>
                <w14:textFill>
                  <w14:solidFill>
                    <w14:schemeClr w14:val="tx1"/>
                  </w14:solidFill>
                </w14:textFill>
              </w:rPr>
            </w:pPr>
          </w:p>
        </w:tc>
      </w:tr>
      <w:tr w14:paraId="4409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52B81ED0">
            <w:pPr>
              <w:spacing w:line="360" w:lineRule="auto"/>
              <w:rPr>
                <w:rFonts w:ascii="宋体" w:hAnsi="宋体"/>
                <w:b/>
                <w:color w:val="000000" w:themeColor="text1"/>
                <w:highlight w:val="none"/>
                <w14:textFill>
                  <w14:solidFill>
                    <w14:schemeClr w14:val="tx1"/>
                  </w14:solidFill>
                </w14:textFill>
              </w:rPr>
            </w:pPr>
          </w:p>
        </w:tc>
        <w:tc>
          <w:tcPr>
            <w:tcW w:w="1783" w:type="pct"/>
          </w:tcPr>
          <w:p w14:paraId="7C82E148">
            <w:pPr>
              <w:spacing w:line="360" w:lineRule="auto"/>
              <w:rPr>
                <w:rFonts w:ascii="宋体" w:hAnsi="宋体"/>
                <w:b/>
                <w:color w:val="000000" w:themeColor="text1"/>
                <w:highlight w:val="none"/>
                <w14:textFill>
                  <w14:solidFill>
                    <w14:schemeClr w14:val="tx1"/>
                  </w14:solidFill>
                </w14:textFill>
              </w:rPr>
            </w:pPr>
          </w:p>
        </w:tc>
      </w:tr>
      <w:tr w14:paraId="2BC1C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E219495">
            <w:pPr>
              <w:spacing w:line="360" w:lineRule="auto"/>
              <w:rPr>
                <w:rFonts w:ascii="宋体" w:hAnsi="宋体"/>
                <w:b/>
                <w:color w:val="000000" w:themeColor="text1"/>
                <w:highlight w:val="none"/>
                <w14:textFill>
                  <w14:solidFill>
                    <w14:schemeClr w14:val="tx1"/>
                  </w14:solidFill>
                </w14:textFill>
              </w:rPr>
            </w:pPr>
          </w:p>
        </w:tc>
        <w:tc>
          <w:tcPr>
            <w:tcW w:w="1783" w:type="pct"/>
          </w:tcPr>
          <w:p w14:paraId="294DE11C">
            <w:pPr>
              <w:spacing w:line="360" w:lineRule="auto"/>
              <w:rPr>
                <w:rFonts w:ascii="宋体" w:hAnsi="宋体"/>
                <w:b/>
                <w:color w:val="000000" w:themeColor="text1"/>
                <w:highlight w:val="none"/>
                <w14:textFill>
                  <w14:solidFill>
                    <w14:schemeClr w14:val="tx1"/>
                  </w14:solidFill>
                </w14:textFill>
              </w:rPr>
            </w:pPr>
          </w:p>
        </w:tc>
      </w:tr>
      <w:tr w14:paraId="5CF4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3D08F32">
            <w:pPr>
              <w:spacing w:line="360" w:lineRule="auto"/>
              <w:rPr>
                <w:rFonts w:ascii="宋体" w:hAnsi="宋体"/>
                <w:b/>
                <w:color w:val="000000" w:themeColor="text1"/>
                <w:highlight w:val="none"/>
                <w14:textFill>
                  <w14:solidFill>
                    <w14:schemeClr w14:val="tx1"/>
                  </w14:solidFill>
                </w14:textFill>
              </w:rPr>
            </w:pPr>
          </w:p>
        </w:tc>
        <w:tc>
          <w:tcPr>
            <w:tcW w:w="1783" w:type="pct"/>
          </w:tcPr>
          <w:p w14:paraId="331237D3">
            <w:pPr>
              <w:spacing w:line="360" w:lineRule="auto"/>
              <w:rPr>
                <w:rFonts w:ascii="宋体" w:hAnsi="宋体"/>
                <w:b/>
                <w:color w:val="000000" w:themeColor="text1"/>
                <w:highlight w:val="none"/>
                <w14:textFill>
                  <w14:solidFill>
                    <w14:schemeClr w14:val="tx1"/>
                  </w14:solidFill>
                </w14:textFill>
              </w:rPr>
            </w:pPr>
          </w:p>
        </w:tc>
      </w:tr>
      <w:tr w14:paraId="06399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24E649A7">
            <w:pPr>
              <w:spacing w:line="360" w:lineRule="auto"/>
              <w:rPr>
                <w:rFonts w:ascii="宋体" w:hAnsi="宋体"/>
                <w:b/>
                <w:color w:val="000000" w:themeColor="text1"/>
                <w:highlight w:val="none"/>
                <w14:textFill>
                  <w14:solidFill>
                    <w14:schemeClr w14:val="tx1"/>
                  </w14:solidFill>
                </w14:textFill>
              </w:rPr>
            </w:pPr>
          </w:p>
        </w:tc>
        <w:tc>
          <w:tcPr>
            <w:tcW w:w="1783" w:type="pct"/>
          </w:tcPr>
          <w:p w14:paraId="31A446B6">
            <w:pPr>
              <w:spacing w:line="360" w:lineRule="auto"/>
              <w:rPr>
                <w:rFonts w:ascii="宋体" w:hAnsi="宋体"/>
                <w:b/>
                <w:color w:val="000000" w:themeColor="text1"/>
                <w:highlight w:val="none"/>
                <w14:textFill>
                  <w14:solidFill>
                    <w14:schemeClr w14:val="tx1"/>
                  </w14:solidFill>
                </w14:textFill>
              </w:rPr>
            </w:pPr>
          </w:p>
        </w:tc>
      </w:tr>
      <w:tr w14:paraId="3452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69CB38E1">
            <w:pPr>
              <w:spacing w:line="360" w:lineRule="auto"/>
              <w:rPr>
                <w:rFonts w:ascii="宋体" w:hAnsi="宋体"/>
                <w:b/>
                <w:color w:val="000000" w:themeColor="text1"/>
                <w:highlight w:val="none"/>
                <w14:textFill>
                  <w14:solidFill>
                    <w14:schemeClr w14:val="tx1"/>
                  </w14:solidFill>
                </w14:textFill>
              </w:rPr>
            </w:pPr>
          </w:p>
        </w:tc>
      </w:tr>
      <w:tr w14:paraId="51941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4968B72C">
            <w:pPr>
              <w:spacing w:line="360" w:lineRule="auto"/>
              <w:rPr>
                <w:rFonts w:ascii="宋体" w:hAnsi="宋体"/>
                <w:b/>
                <w:color w:val="000000" w:themeColor="text1"/>
                <w:highlight w:val="none"/>
                <w14:textFill>
                  <w14:solidFill>
                    <w14:schemeClr w14:val="tx1"/>
                  </w14:solidFill>
                </w14:textFill>
              </w:rPr>
            </w:pPr>
          </w:p>
        </w:tc>
        <w:tc>
          <w:tcPr>
            <w:tcW w:w="1783" w:type="pct"/>
          </w:tcPr>
          <w:p w14:paraId="5147FBCF">
            <w:pPr>
              <w:spacing w:line="360" w:lineRule="auto"/>
              <w:rPr>
                <w:rFonts w:ascii="宋体" w:hAnsi="宋体"/>
                <w:b/>
                <w:color w:val="000000" w:themeColor="text1"/>
                <w:highlight w:val="none"/>
                <w14:textFill>
                  <w14:solidFill>
                    <w14:schemeClr w14:val="tx1"/>
                  </w14:solidFill>
                </w14:textFill>
              </w:rPr>
            </w:pPr>
          </w:p>
        </w:tc>
      </w:tr>
      <w:tr w14:paraId="65DD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3894FFAD">
            <w:pPr>
              <w:spacing w:line="360" w:lineRule="auto"/>
              <w:rPr>
                <w:rFonts w:ascii="宋体" w:hAnsi="宋体"/>
                <w:b/>
                <w:color w:val="000000" w:themeColor="text1"/>
                <w:highlight w:val="none"/>
                <w14:textFill>
                  <w14:solidFill>
                    <w14:schemeClr w14:val="tx1"/>
                  </w14:solidFill>
                </w14:textFill>
              </w:rPr>
            </w:pPr>
          </w:p>
        </w:tc>
        <w:tc>
          <w:tcPr>
            <w:tcW w:w="1783" w:type="pct"/>
          </w:tcPr>
          <w:p w14:paraId="47215C46">
            <w:pPr>
              <w:spacing w:line="360" w:lineRule="auto"/>
              <w:rPr>
                <w:rFonts w:ascii="宋体" w:hAnsi="宋体"/>
                <w:b/>
                <w:color w:val="000000" w:themeColor="text1"/>
                <w:highlight w:val="none"/>
                <w14:textFill>
                  <w14:solidFill>
                    <w14:schemeClr w14:val="tx1"/>
                  </w14:solidFill>
                </w14:textFill>
              </w:rPr>
            </w:pPr>
          </w:p>
        </w:tc>
      </w:tr>
      <w:tr w14:paraId="0FAAD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092B6DA3">
            <w:pPr>
              <w:spacing w:line="360" w:lineRule="auto"/>
              <w:rPr>
                <w:rFonts w:ascii="宋体" w:hAnsi="宋体"/>
                <w:b/>
                <w:color w:val="000000" w:themeColor="text1"/>
                <w:highlight w:val="none"/>
                <w14:textFill>
                  <w14:solidFill>
                    <w14:schemeClr w14:val="tx1"/>
                  </w14:solidFill>
                </w14:textFill>
              </w:rPr>
            </w:pPr>
          </w:p>
        </w:tc>
        <w:tc>
          <w:tcPr>
            <w:tcW w:w="1783" w:type="pct"/>
          </w:tcPr>
          <w:p w14:paraId="6219B7BE">
            <w:pPr>
              <w:spacing w:line="360" w:lineRule="auto"/>
              <w:rPr>
                <w:rFonts w:ascii="宋体" w:hAnsi="宋体"/>
                <w:b/>
                <w:color w:val="000000" w:themeColor="text1"/>
                <w:highlight w:val="none"/>
                <w14:textFill>
                  <w14:solidFill>
                    <w14:schemeClr w14:val="tx1"/>
                  </w14:solidFill>
                </w14:textFill>
              </w:rPr>
            </w:pPr>
          </w:p>
        </w:tc>
      </w:tr>
      <w:tr w14:paraId="0B553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270744B1">
            <w:pPr>
              <w:spacing w:line="360" w:lineRule="auto"/>
              <w:rPr>
                <w:rFonts w:ascii="宋体" w:hAnsi="宋体"/>
                <w:b/>
                <w:color w:val="000000" w:themeColor="text1"/>
                <w:highlight w:val="none"/>
                <w14:textFill>
                  <w14:solidFill>
                    <w14:schemeClr w14:val="tx1"/>
                  </w14:solidFill>
                </w14:textFill>
              </w:rPr>
            </w:pPr>
          </w:p>
        </w:tc>
        <w:tc>
          <w:tcPr>
            <w:tcW w:w="1783" w:type="pct"/>
          </w:tcPr>
          <w:p w14:paraId="5CE2FEC9">
            <w:pPr>
              <w:spacing w:line="360" w:lineRule="auto"/>
              <w:rPr>
                <w:rFonts w:ascii="宋体" w:hAnsi="宋体"/>
                <w:b/>
                <w:color w:val="000000" w:themeColor="text1"/>
                <w:highlight w:val="none"/>
                <w14:textFill>
                  <w14:solidFill>
                    <w14:schemeClr w14:val="tx1"/>
                  </w14:solidFill>
                </w14:textFill>
              </w:rPr>
            </w:pPr>
          </w:p>
        </w:tc>
      </w:tr>
      <w:tr w14:paraId="6842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60760E4C">
            <w:pPr>
              <w:spacing w:line="360" w:lineRule="auto"/>
              <w:rPr>
                <w:rFonts w:ascii="宋体" w:hAnsi="宋体"/>
                <w:b/>
                <w:color w:val="000000" w:themeColor="text1"/>
                <w:highlight w:val="none"/>
                <w14:textFill>
                  <w14:solidFill>
                    <w14:schemeClr w14:val="tx1"/>
                  </w14:solidFill>
                </w14:textFill>
              </w:rPr>
            </w:pPr>
          </w:p>
        </w:tc>
        <w:tc>
          <w:tcPr>
            <w:tcW w:w="1783" w:type="pct"/>
          </w:tcPr>
          <w:p w14:paraId="2C0F7684">
            <w:pPr>
              <w:spacing w:line="360" w:lineRule="auto"/>
              <w:rPr>
                <w:rFonts w:ascii="宋体" w:hAnsi="宋体"/>
                <w:b/>
                <w:color w:val="000000" w:themeColor="text1"/>
                <w:highlight w:val="none"/>
                <w14:textFill>
                  <w14:solidFill>
                    <w14:schemeClr w14:val="tx1"/>
                  </w14:solidFill>
                </w14:textFill>
              </w:rPr>
            </w:pPr>
          </w:p>
        </w:tc>
      </w:tr>
      <w:tr w14:paraId="5EF7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58FF8DFF">
            <w:pPr>
              <w:spacing w:line="360" w:lineRule="auto"/>
              <w:rPr>
                <w:rFonts w:ascii="宋体" w:hAnsi="宋体"/>
                <w:b/>
                <w:color w:val="000000" w:themeColor="text1"/>
                <w:highlight w:val="none"/>
                <w14:textFill>
                  <w14:solidFill>
                    <w14:schemeClr w14:val="tx1"/>
                  </w14:solidFill>
                </w14:textFill>
              </w:rPr>
            </w:pPr>
          </w:p>
        </w:tc>
      </w:tr>
      <w:tr w14:paraId="6DCDE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51546D46">
            <w:pPr>
              <w:spacing w:line="360" w:lineRule="auto"/>
              <w:rPr>
                <w:rFonts w:ascii="宋体" w:hAnsi="宋体"/>
                <w:b/>
                <w:color w:val="000000" w:themeColor="text1"/>
                <w:highlight w:val="none"/>
                <w14:textFill>
                  <w14:solidFill>
                    <w14:schemeClr w14:val="tx1"/>
                  </w14:solidFill>
                </w14:textFill>
              </w:rPr>
            </w:pPr>
          </w:p>
        </w:tc>
        <w:tc>
          <w:tcPr>
            <w:tcW w:w="1783" w:type="pct"/>
          </w:tcPr>
          <w:p w14:paraId="2EF0FAAF">
            <w:pPr>
              <w:spacing w:line="360" w:lineRule="auto"/>
              <w:rPr>
                <w:rFonts w:ascii="宋体" w:hAnsi="宋体"/>
                <w:b/>
                <w:color w:val="000000" w:themeColor="text1"/>
                <w:highlight w:val="none"/>
                <w14:textFill>
                  <w14:solidFill>
                    <w14:schemeClr w14:val="tx1"/>
                  </w14:solidFill>
                </w14:textFill>
              </w:rPr>
            </w:pPr>
          </w:p>
        </w:tc>
      </w:tr>
      <w:tr w14:paraId="20292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0F1AA2DB">
            <w:pPr>
              <w:spacing w:line="360" w:lineRule="auto"/>
              <w:rPr>
                <w:rFonts w:ascii="宋体" w:hAnsi="宋体"/>
                <w:b/>
                <w:color w:val="000000" w:themeColor="text1"/>
                <w:highlight w:val="none"/>
                <w14:textFill>
                  <w14:solidFill>
                    <w14:schemeClr w14:val="tx1"/>
                  </w14:solidFill>
                </w14:textFill>
              </w:rPr>
            </w:pPr>
          </w:p>
        </w:tc>
        <w:tc>
          <w:tcPr>
            <w:tcW w:w="1783" w:type="pct"/>
          </w:tcPr>
          <w:p w14:paraId="0BE66123">
            <w:pPr>
              <w:spacing w:line="360" w:lineRule="auto"/>
              <w:rPr>
                <w:rFonts w:ascii="宋体" w:hAnsi="宋体"/>
                <w:b/>
                <w:color w:val="000000" w:themeColor="text1"/>
                <w:highlight w:val="none"/>
                <w14:textFill>
                  <w14:solidFill>
                    <w14:schemeClr w14:val="tx1"/>
                  </w14:solidFill>
                </w14:textFill>
              </w:rPr>
            </w:pPr>
          </w:p>
        </w:tc>
      </w:tr>
      <w:tr w14:paraId="7EDC1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664964E0">
            <w:pPr>
              <w:spacing w:line="360" w:lineRule="auto"/>
              <w:rPr>
                <w:rFonts w:ascii="宋体" w:hAnsi="宋体"/>
                <w:b/>
                <w:color w:val="000000" w:themeColor="text1"/>
                <w:highlight w:val="none"/>
                <w14:textFill>
                  <w14:solidFill>
                    <w14:schemeClr w14:val="tx1"/>
                  </w14:solidFill>
                </w14:textFill>
              </w:rPr>
            </w:pPr>
          </w:p>
        </w:tc>
        <w:tc>
          <w:tcPr>
            <w:tcW w:w="1783" w:type="pct"/>
          </w:tcPr>
          <w:p w14:paraId="28AFE475">
            <w:pPr>
              <w:spacing w:line="360" w:lineRule="auto"/>
              <w:rPr>
                <w:rFonts w:ascii="宋体" w:hAnsi="宋体"/>
                <w:b/>
                <w:color w:val="000000" w:themeColor="text1"/>
                <w:highlight w:val="none"/>
                <w14:textFill>
                  <w14:solidFill>
                    <w14:schemeClr w14:val="tx1"/>
                  </w14:solidFill>
                </w14:textFill>
              </w:rPr>
            </w:pPr>
          </w:p>
        </w:tc>
      </w:tr>
      <w:tr w14:paraId="047BA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5BB9DDB7">
            <w:pPr>
              <w:spacing w:line="360" w:lineRule="auto"/>
              <w:rPr>
                <w:rFonts w:ascii="宋体" w:hAnsi="宋体"/>
                <w:b/>
                <w:color w:val="000000" w:themeColor="text1"/>
                <w:highlight w:val="none"/>
                <w14:textFill>
                  <w14:solidFill>
                    <w14:schemeClr w14:val="tx1"/>
                  </w14:solidFill>
                </w14:textFill>
              </w:rPr>
            </w:pPr>
          </w:p>
        </w:tc>
      </w:tr>
      <w:tr w14:paraId="15CE1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166669BC">
            <w:pPr>
              <w:spacing w:line="360" w:lineRule="auto"/>
              <w:rPr>
                <w:rFonts w:ascii="宋体" w:hAnsi="宋体"/>
                <w:b/>
                <w:color w:val="000000" w:themeColor="text1"/>
                <w:highlight w:val="none"/>
                <w14:textFill>
                  <w14:solidFill>
                    <w14:schemeClr w14:val="tx1"/>
                  </w14:solidFill>
                </w14:textFill>
              </w:rPr>
            </w:pPr>
          </w:p>
        </w:tc>
        <w:tc>
          <w:tcPr>
            <w:tcW w:w="1783" w:type="pct"/>
          </w:tcPr>
          <w:p w14:paraId="71F31734">
            <w:pPr>
              <w:spacing w:line="360" w:lineRule="auto"/>
              <w:rPr>
                <w:rFonts w:ascii="宋体" w:hAnsi="宋体"/>
                <w:b/>
                <w:color w:val="000000" w:themeColor="text1"/>
                <w:highlight w:val="none"/>
                <w14:textFill>
                  <w14:solidFill>
                    <w14:schemeClr w14:val="tx1"/>
                  </w14:solidFill>
                </w14:textFill>
              </w:rPr>
            </w:pPr>
          </w:p>
        </w:tc>
      </w:tr>
      <w:tr w14:paraId="58F5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1D8D3B71">
            <w:pPr>
              <w:spacing w:line="360" w:lineRule="auto"/>
              <w:rPr>
                <w:rFonts w:ascii="宋体" w:hAnsi="宋体"/>
                <w:b/>
                <w:color w:val="000000" w:themeColor="text1"/>
                <w:highlight w:val="none"/>
                <w14:textFill>
                  <w14:solidFill>
                    <w14:schemeClr w14:val="tx1"/>
                  </w14:solidFill>
                </w14:textFill>
              </w:rPr>
            </w:pPr>
          </w:p>
        </w:tc>
        <w:tc>
          <w:tcPr>
            <w:tcW w:w="1783" w:type="pct"/>
          </w:tcPr>
          <w:p w14:paraId="4E2E1559">
            <w:pPr>
              <w:spacing w:line="360" w:lineRule="auto"/>
              <w:rPr>
                <w:rFonts w:ascii="宋体" w:hAnsi="宋体"/>
                <w:b/>
                <w:color w:val="000000" w:themeColor="text1"/>
                <w:highlight w:val="none"/>
                <w14:textFill>
                  <w14:solidFill>
                    <w14:schemeClr w14:val="tx1"/>
                  </w14:solidFill>
                </w14:textFill>
              </w:rPr>
            </w:pPr>
          </w:p>
        </w:tc>
      </w:tr>
    </w:tbl>
    <w:p w14:paraId="69B1134B">
      <w:pPr>
        <w:spacing w:line="360" w:lineRule="auto"/>
        <w:rPr>
          <w:rFonts w:ascii="宋体" w:hAnsi="宋体"/>
          <w:color w:val="000000" w:themeColor="text1"/>
          <w:highlight w:val="none"/>
          <w14:textFill>
            <w14:solidFill>
              <w14:schemeClr w14:val="tx1"/>
            </w14:solidFill>
          </w14:textFill>
        </w:rPr>
      </w:pPr>
    </w:p>
    <w:p w14:paraId="493E0594">
      <w:pPr>
        <w:spacing w:line="360" w:lineRule="auto"/>
        <w:jc w:val="center"/>
        <w:rPr>
          <w:rFonts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3" w:name="_Toc489655320"/>
    </w:p>
    <w:p w14:paraId="6B68D6BB">
      <w:pPr>
        <w:pStyle w:val="2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响应文件主要目录</w:t>
      </w:r>
      <w:bookmarkEnd w:id="12"/>
      <w:bookmarkEnd w:id="13"/>
      <w:r>
        <w:rPr>
          <w:color w:val="000000" w:themeColor="text1"/>
          <w:highlight w:val="none"/>
          <w14:textFill>
            <w14:solidFill>
              <w14:schemeClr w14:val="tx1"/>
            </w14:solidFill>
          </w14:textFill>
        </w:rPr>
        <w:t>及相关证明材料格式、附件</w:t>
      </w:r>
    </w:p>
    <w:p w14:paraId="3002A737">
      <w:pPr>
        <w:spacing w:line="360" w:lineRule="auto"/>
        <w:rPr>
          <w:rFonts w:ascii="宋体" w:hAnsi="宋体"/>
          <w:color w:val="000000" w:themeColor="text1"/>
          <w:sz w:val="28"/>
          <w:szCs w:val="28"/>
          <w:highlight w:val="none"/>
          <w14:textFill>
            <w14:solidFill>
              <w14:schemeClr w14:val="tx1"/>
            </w14:solidFill>
          </w14:textFill>
        </w:rPr>
      </w:pPr>
    </w:p>
    <w:p w14:paraId="70D5B661">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一、响应申请及声明格式</w:t>
      </w:r>
    </w:p>
    <w:p w14:paraId="51C2996E">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二、法定代表人授权书格式</w:t>
      </w:r>
    </w:p>
    <w:p w14:paraId="3184E3E8">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三、响应一览表</w:t>
      </w:r>
    </w:p>
    <w:p w14:paraId="5228180B">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四、资格证明文件</w:t>
      </w:r>
    </w:p>
    <w:p w14:paraId="672F32E3">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五、技术条款偏离表</w:t>
      </w:r>
    </w:p>
    <w:p w14:paraId="18C026F4">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六、商务条款偏离表</w:t>
      </w:r>
    </w:p>
    <w:p w14:paraId="1EA3151E">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七、评分项审查材料</w:t>
      </w:r>
    </w:p>
    <w:p w14:paraId="716DD565">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八、响应需要的其他证明文件及材料（若有）</w:t>
      </w:r>
    </w:p>
    <w:p w14:paraId="1DA0780F">
      <w:pPr>
        <w:spacing w:line="360" w:lineRule="auto"/>
        <w:rPr>
          <w:rFonts w:ascii="宋体" w:hAnsi="宋体"/>
          <w:color w:val="000000" w:themeColor="text1"/>
          <w:sz w:val="28"/>
          <w:szCs w:val="28"/>
          <w:highlight w:val="none"/>
          <w14:textFill>
            <w14:solidFill>
              <w14:schemeClr w14:val="tx1"/>
            </w14:solidFill>
          </w14:textFill>
        </w:rPr>
      </w:pPr>
    </w:p>
    <w:p w14:paraId="302A8E5F">
      <w:pPr>
        <w:spacing w:line="360" w:lineRule="auto"/>
        <w:ind w:firstLine="56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附件一、无重大违法记录声明格式；</w:t>
      </w:r>
    </w:p>
    <w:p w14:paraId="6BA4B1D1">
      <w:pPr>
        <w:spacing w:line="360" w:lineRule="auto"/>
        <w:ind w:left="2941" w:leftChars="267" w:hanging="2380" w:hangingChars="85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附件二、具备履行合同所必需的设备和专业技术能力的声明格式及证明材料。</w:t>
      </w:r>
    </w:p>
    <w:p w14:paraId="2846A0EE">
      <w:pPr>
        <w:spacing w:line="360" w:lineRule="auto"/>
        <w:ind w:left="2941" w:leftChars="267" w:hanging="2380" w:hangingChars="85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附件三、承诺书</w:t>
      </w:r>
    </w:p>
    <w:p w14:paraId="389883A2">
      <w:pPr>
        <w:spacing w:line="360" w:lineRule="auto"/>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br w:type="page"/>
      </w:r>
    </w:p>
    <w:p w14:paraId="4DFEA808">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一、响应申请及声明格式</w:t>
      </w:r>
    </w:p>
    <w:p w14:paraId="3D810E01">
      <w:pPr>
        <w:pStyle w:val="268"/>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响应申请及声明</w:t>
      </w:r>
    </w:p>
    <w:p w14:paraId="1B0300B3">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5D3E9FA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（项目编号：</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）响应邀请，正式授权下述签字人（姓名和职务）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代表供应商（供应商名称）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，提交响应文件。</w:t>
      </w:r>
    </w:p>
    <w:p w14:paraId="4680A915">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据此函，签字人兹宣布声明和承诺如下：</w:t>
      </w:r>
    </w:p>
    <w:p w14:paraId="50E3606C">
      <w:pPr>
        <w:pStyle w:val="17"/>
        <w:numPr>
          <w:ilvl w:val="0"/>
          <w:numId w:val="61"/>
        </w:numPr>
        <w:spacing w:line="360" w:lineRule="auto"/>
        <w:ind w:firstLineChars="0"/>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我们的资格条件完全符合本次</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w:t>
      </w:r>
      <w:r>
        <w:rPr>
          <w:color w:val="000000" w:themeColor="text1"/>
          <w:highlight w:val="none"/>
          <w14:textFill>
            <w14:solidFill>
              <w14:schemeClr w14:val="tx1"/>
            </w14:solidFill>
          </w14:textFill>
        </w:rPr>
        <w:t>，我们同意并向贵方提供了与响应有关的所有证据和资料。</w:t>
      </w:r>
    </w:p>
    <w:p w14:paraId="3DF6E840">
      <w:pPr>
        <w:pStyle w:val="17"/>
        <w:numPr>
          <w:ilvl w:val="0"/>
          <w:numId w:val="6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按</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要求，我们的响应</w:t>
      </w:r>
      <w:r>
        <w:rPr>
          <w:rFonts w:hint="eastAsia"/>
          <w:b/>
          <w:color w:val="000000" w:themeColor="text1"/>
          <w:highlight w:val="none"/>
          <w14:textFill>
            <w14:solidFill>
              <w14:schemeClr w14:val="tx1"/>
            </w14:solidFill>
          </w14:textFill>
        </w:rPr>
        <w:t>报</w:t>
      </w:r>
      <w:r>
        <w:rPr>
          <w:b/>
          <w:color w:val="000000" w:themeColor="text1"/>
          <w:highlight w:val="none"/>
          <w14:textFill>
            <w14:solidFill>
              <w14:schemeClr w14:val="tx1"/>
            </w14:solidFill>
          </w14:textFill>
        </w:rPr>
        <w:t>价为：</w:t>
      </w:r>
      <w:r>
        <w:rPr>
          <w:b/>
          <w:color w:val="000000" w:themeColor="text1"/>
          <w:highlight w:val="none"/>
          <w:u w:val="single"/>
          <w14:textFill>
            <w14:solidFill>
              <w14:schemeClr w14:val="tx1"/>
            </w14:solidFill>
          </w14:textFill>
        </w:rPr>
        <w:t>（大写）人民币          （小写：       元人民币）</w:t>
      </w:r>
      <w:r>
        <w:rPr>
          <w:b/>
          <w:color w:val="000000" w:themeColor="text1"/>
          <w:highlight w:val="none"/>
          <w14:textFill>
            <w14:solidFill>
              <w14:schemeClr w14:val="tx1"/>
            </w14:solidFill>
          </w14:textFill>
        </w:rPr>
        <w:t>。</w:t>
      </w:r>
    </w:p>
    <w:p w14:paraId="4438B0FF">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我们已详细审核全部</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文件及其有效补充文件，我们放弃对</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文件任何误解的权利，提交响应文件后，</w:t>
      </w:r>
      <w:r>
        <w:rPr>
          <w:b/>
          <w:color w:val="000000" w:themeColor="text1"/>
          <w:highlight w:val="none"/>
          <w14:textFill>
            <w14:solidFill>
              <w14:schemeClr w14:val="tx1"/>
            </w14:solidFill>
          </w14:textFill>
        </w:rPr>
        <w:t>不对</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文件本身提出质疑</w:t>
      </w:r>
      <w:r>
        <w:rPr>
          <w:color w:val="000000" w:themeColor="text1"/>
          <w:highlight w:val="none"/>
          <w14:textFill>
            <w14:solidFill>
              <w14:schemeClr w14:val="tx1"/>
            </w14:solidFill>
          </w14:textFill>
        </w:rPr>
        <w:t>。</w:t>
      </w:r>
    </w:p>
    <w:p w14:paraId="4DEB06FE">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我们同意从规定的</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日期起遵循本响应文件，并在规定的响应有效期期满</w:t>
      </w:r>
      <w:r>
        <w:rPr>
          <w:rFonts w:hint="eastAsia"/>
          <w:color w:val="000000" w:themeColor="text1"/>
          <w:highlight w:val="none"/>
          <w14:textFill>
            <w14:solidFill>
              <w14:schemeClr w14:val="tx1"/>
            </w14:solidFill>
          </w14:textFill>
        </w:rPr>
        <w:t>（90天）</w:t>
      </w:r>
      <w:r>
        <w:rPr>
          <w:color w:val="000000" w:themeColor="text1"/>
          <w:highlight w:val="none"/>
          <w14:textFill>
            <w14:solidFill>
              <w14:schemeClr w14:val="tx1"/>
            </w14:solidFill>
          </w14:textFill>
        </w:rPr>
        <w:t>之前均具有约束力。</w:t>
      </w:r>
    </w:p>
    <w:p w14:paraId="4C782EBE">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一旦我方成交，我方将根据</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文件的规定严格履行合同，并保证于承诺的时间完成项目的启动等服务，交付采购人验收。</w:t>
      </w:r>
    </w:p>
    <w:p w14:paraId="39A5FB27">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FA0CFA0">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与本次响应有关的正式联系方式为：</w:t>
      </w:r>
    </w:p>
    <w:p w14:paraId="4749F967">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地址：</w:t>
      </w:r>
    </w:p>
    <w:p w14:paraId="7BF1BACF">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电话：</w:t>
      </w:r>
    </w:p>
    <w:p w14:paraId="0398819A">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传真：</w:t>
      </w:r>
    </w:p>
    <w:p w14:paraId="0CB0A1BA">
      <w:pPr>
        <w:pStyle w:val="17"/>
        <w:spacing w:after="0"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p>
    <w:p w14:paraId="6F39198F">
      <w:pPr>
        <w:pStyle w:val="17"/>
        <w:spacing w:after="0"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银行账号：</w:t>
      </w:r>
    </w:p>
    <w:p w14:paraId="7C967D9A">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供应商授权代表姓名（签字）：</w:t>
      </w:r>
    </w:p>
    <w:p w14:paraId="345D8A7C">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供应商名称（盖章）：</w:t>
      </w:r>
    </w:p>
    <w:p w14:paraId="03969589">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10F780E0">
      <w:pPr>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br w:type="page"/>
      </w:r>
    </w:p>
    <w:p w14:paraId="0D6E8B54">
      <w:pPr>
        <w:pStyle w:val="17"/>
        <w:spacing w:before="240" w:beforeLines="100"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二、法定代表人授权书格式</w:t>
      </w:r>
    </w:p>
    <w:p w14:paraId="64E3D49A">
      <w:pPr>
        <w:pStyle w:val="268"/>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w:t>
      </w:r>
    </w:p>
    <w:p w14:paraId="136015E7">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6834FF5B">
      <w:pPr>
        <w:pStyle w:val="17"/>
        <w:wordWrap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本授权书声明：注册于（供应商住址）</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的（供应商名称）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法定代表人（法定代表人姓名、职务）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代表本公司授权在下面签字的（供应商代表姓名、职务）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为本公司的合法代理人，就贵方组织的</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（项目编号）进行响应，以本公司名义处理一切与之有关的事务。</w:t>
      </w:r>
    </w:p>
    <w:p w14:paraId="543527F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color w:val="000000" w:themeColor="text1"/>
          <w:highlight w:val="none"/>
          <w:u w:val="single"/>
          <w14:textFill>
            <w14:solidFill>
              <w14:schemeClr w14:val="tx1"/>
            </w14:solidFill>
          </w14:textFill>
        </w:rPr>
        <w:t xml:space="preserve">      年    月    日</w:t>
      </w:r>
      <w:r>
        <w:rPr>
          <w:color w:val="000000" w:themeColor="text1"/>
          <w:highlight w:val="none"/>
          <w14:textFill>
            <w14:solidFill>
              <w14:schemeClr w14:val="tx1"/>
            </w14:solidFill>
          </w14:textFill>
        </w:rPr>
        <w:t>签字生效，特此声明。</w:t>
      </w:r>
    </w:p>
    <w:p w14:paraId="164BFE43">
      <w:pPr>
        <w:adjustRightInd w:val="0"/>
        <w:spacing w:line="360" w:lineRule="auto"/>
        <w:ind w:firstLine="408"/>
        <w:jc w:val="left"/>
        <w:rPr>
          <w:rFonts w:ascii="宋体" w:hAnsi="宋体" w:cs="宋体"/>
          <w:color w:val="000000" w:themeColor="text1"/>
          <w:szCs w:val="21"/>
          <w:highlight w:val="none"/>
          <w:lang w:val="zh-CN"/>
          <w14:textFill>
            <w14:solidFill>
              <w14:schemeClr w14:val="tx1"/>
            </w14:solidFill>
          </w14:textFill>
        </w:rPr>
      </w:pPr>
    </w:p>
    <w:p w14:paraId="7C6612A6">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法定代表人（签字）：</w:t>
      </w:r>
    </w:p>
    <w:p w14:paraId="72E660FD">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委托代理人</w:t>
      </w:r>
      <w:r>
        <w:rPr>
          <w:rFonts w:hint="eastAsia" w:ascii="Times New Roman" w:hAnsi="Times New Roman"/>
          <w:color w:val="000000" w:themeColor="text1"/>
          <w:sz w:val="24"/>
          <w:szCs w:val="21"/>
          <w:highlight w:val="none"/>
          <w:lang w:val="zh-CN"/>
          <w14:textFill>
            <w14:solidFill>
              <w14:schemeClr w14:val="tx1"/>
            </w14:solidFill>
          </w14:textFill>
        </w:rPr>
        <w:t>（签字）：</w:t>
      </w:r>
    </w:p>
    <w:p w14:paraId="0B23BF54">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 月 日</w:t>
      </w:r>
    </w:p>
    <w:p w14:paraId="1DE78A63">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p>
    <w:p w14:paraId="756F9EE7">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法定代表人身份证复印件：</w:t>
      </w:r>
    </w:p>
    <w:p w14:paraId="345A94FB">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p>
    <w:p w14:paraId="562FF642">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委托代理</w:t>
      </w:r>
      <w:r>
        <w:rPr>
          <w:rFonts w:hint="eastAsia" w:ascii="Times New Roman" w:hAnsi="Times New Roman"/>
          <w:color w:val="000000" w:themeColor="text1"/>
          <w:sz w:val="24"/>
          <w:szCs w:val="21"/>
          <w:highlight w:val="none"/>
          <w:lang w:val="zh-CN"/>
          <w14:textFill>
            <w14:solidFill>
              <w14:schemeClr w14:val="tx1"/>
            </w14:solidFill>
          </w14:textFill>
        </w:rPr>
        <w:t>人</w:t>
      </w:r>
      <w:r>
        <w:rPr>
          <w:rFonts w:hint="eastAsia" w:ascii="Times New Roman" w:hAnsi="Times New Roman"/>
          <w:color w:val="000000" w:themeColor="text1"/>
          <w:sz w:val="24"/>
          <w:szCs w:val="21"/>
          <w:highlight w:val="none"/>
          <w14:textFill>
            <w14:solidFill>
              <w14:schemeClr w14:val="tx1"/>
            </w14:solidFill>
          </w14:textFill>
        </w:rPr>
        <w:t>身份证复印件：</w:t>
      </w:r>
    </w:p>
    <w:p w14:paraId="09072303">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71D6E62E">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5C496679">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供应商或分支机构近半年内任意一个月为委托代理</w:t>
      </w:r>
      <w:r>
        <w:rPr>
          <w:rFonts w:hint="eastAsia" w:ascii="Times New Roman" w:hAnsi="Times New Roman"/>
          <w:color w:val="000000" w:themeColor="text1"/>
          <w:sz w:val="24"/>
          <w:szCs w:val="21"/>
          <w:highlight w:val="none"/>
          <w:lang w:val="zh-CN"/>
          <w14:textFill>
            <w14:solidFill>
              <w14:schemeClr w14:val="tx1"/>
            </w14:solidFill>
          </w14:textFill>
        </w:rPr>
        <w:t>人</w:t>
      </w:r>
      <w:r>
        <w:rPr>
          <w:rFonts w:hint="eastAsia" w:ascii="Times New Roman" w:hAnsi="Times New Roman"/>
          <w:color w:val="000000" w:themeColor="text1"/>
          <w:sz w:val="24"/>
          <w:szCs w:val="21"/>
          <w:highlight w:val="none"/>
          <w14:textFill>
            <w14:solidFill>
              <w14:schemeClr w14:val="tx1"/>
            </w14:solidFill>
          </w14:textFill>
        </w:rPr>
        <w:t>缴纳社保的证明：</w:t>
      </w:r>
    </w:p>
    <w:p w14:paraId="06ED223A">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5246BE9F">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7F0BB266">
      <w:pPr>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7EC7EEAF">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三、</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一览表</w:t>
      </w:r>
    </w:p>
    <w:p w14:paraId="571CA4B0">
      <w:pPr>
        <w:spacing w:line="360" w:lineRule="auto"/>
        <w:jc w:val="center"/>
        <w:rPr>
          <w:rFonts w:asciiTheme="majorEastAsia" w:hAnsiTheme="majorEastAsia" w:eastAsiaTheme="majorEastAsia"/>
          <w:b/>
          <w:sz w:val="24"/>
          <w:highlight w:val="none"/>
        </w:rPr>
      </w:pPr>
      <w:r>
        <w:rPr>
          <w:rFonts w:hint="eastAsia" w:asciiTheme="majorEastAsia" w:hAnsiTheme="majorEastAsia" w:eastAsiaTheme="majorEastAsia"/>
          <w:b/>
          <w:sz w:val="24"/>
          <w:highlight w:val="none"/>
        </w:rPr>
        <w:t>响应</w:t>
      </w:r>
      <w:r>
        <w:rPr>
          <w:rFonts w:asciiTheme="majorEastAsia" w:hAnsiTheme="majorEastAsia" w:eastAsiaTheme="majorEastAsia"/>
          <w:b/>
          <w:sz w:val="24"/>
          <w:highlight w:val="none"/>
        </w:rPr>
        <w:t>一览表</w:t>
      </w:r>
    </w:p>
    <w:p w14:paraId="00E6CA2F">
      <w:pPr>
        <w:pStyle w:val="13"/>
        <w:spacing w:line="360" w:lineRule="auto"/>
        <w:rPr>
          <w:sz w:val="22"/>
          <w:szCs w:val="22"/>
          <w:highlight w:val="none"/>
        </w:rPr>
      </w:pPr>
      <w:bookmarkStart w:id="14" w:name="_Hlk179882269"/>
      <w:r>
        <w:rPr>
          <w:rFonts w:hint="eastAsia" w:ascii="宋体" w:hAnsi="宋体" w:cs="宋体"/>
          <w:sz w:val="22"/>
          <w:szCs w:val="22"/>
          <w:highlight w:val="none"/>
        </w:rPr>
        <w:t>项目编号：</w:t>
      </w:r>
    </w:p>
    <w:p w14:paraId="30E7232C">
      <w:pPr>
        <w:pStyle w:val="13"/>
        <w:spacing w:line="360" w:lineRule="auto"/>
        <w:ind w:left="840" w:hanging="420"/>
        <w:rPr>
          <w:rFonts w:ascii="宋体" w:hAnsi="宋体" w:cs="宋体"/>
          <w:sz w:val="22"/>
          <w:szCs w:val="22"/>
          <w:highlight w:val="none"/>
        </w:rPr>
      </w:pPr>
      <w:r>
        <w:rPr>
          <w:rFonts w:hint="eastAsia" w:ascii="宋体" w:hAnsi="宋体" w:cs="宋体"/>
          <w:sz w:val="22"/>
          <w:szCs w:val="22"/>
          <w:highlight w:val="none"/>
        </w:rPr>
        <w:t>项目名称：</w:t>
      </w:r>
    </w:p>
    <w:bookmarkEnd w:id="14"/>
    <w:tbl>
      <w:tblPr>
        <w:tblStyle w:val="45"/>
        <w:tblW w:w="4264"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7"/>
        <w:gridCol w:w="1138"/>
        <w:gridCol w:w="2579"/>
        <w:gridCol w:w="1935"/>
        <w:gridCol w:w="1300"/>
      </w:tblGrid>
      <w:tr w14:paraId="5690A5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1" w:type="pct"/>
            <w:vAlign w:val="center"/>
          </w:tcPr>
          <w:p w14:paraId="38EE3372">
            <w:pPr>
              <w:widowControl/>
              <w:jc w:val="center"/>
              <w:rPr>
                <w:rFonts w:ascii="宋体" w:hAnsi="宋体"/>
                <w:b/>
                <w:bCs/>
                <w:szCs w:val="21"/>
                <w:highlight w:val="none"/>
              </w:rPr>
            </w:pPr>
            <w:r>
              <w:rPr>
                <w:rFonts w:hint="eastAsia" w:ascii="宋体" w:hAnsi="宋体"/>
                <w:b/>
                <w:bCs/>
                <w:szCs w:val="21"/>
                <w:highlight w:val="none"/>
              </w:rPr>
              <w:t>产品</w:t>
            </w:r>
          </w:p>
        </w:tc>
        <w:tc>
          <w:tcPr>
            <w:tcW w:w="688" w:type="pct"/>
            <w:vAlign w:val="center"/>
          </w:tcPr>
          <w:p w14:paraId="015FB5D3">
            <w:pPr>
              <w:widowControl/>
              <w:jc w:val="center"/>
              <w:rPr>
                <w:rFonts w:ascii="宋体" w:hAnsi="宋体"/>
                <w:b/>
                <w:bCs/>
                <w:szCs w:val="21"/>
                <w:highlight w:val="none"/>
              </w:rPr>
            </w:pPr>
            <w:r>
              <w:rPr>
                <w:rFonts w:ascii="宋体" w:hAnsi="宋体"/>
                <w:b/>
                <w:bCs/>
                <w:szCs w:val="21"/>
                <w:highlight w:val="none"/>
              </w:rPr>
              <w:t>数量</w:t>
            </w:r>
          </w:p>
        </w:tc>
        <w:tc>
          <w:tcPr>
            <w:tcW w:w="1561" w:type="pct"/>
            <w:vAlign w:val="center"/>
          </w:tcPr>
          <w:p w14:paraId="1BB14BEC">
            <w:pPr>
              <w:widowControl/>
              <w:jc w:val="center"/>
              <w:rPr>
                <w:rFonts w:ascii="宋体" w:hAnsi="宋体"/>
                <w:b/>
                <w:bCs/>
                <w:szCs w:val="21"/>
                <w:highlight w:val="none"/>
              </w:rPr>
            </w:pPr>
            <w:r>
              <w:rPr>
                <w:rFonts w:hint="eastAsia" w:ascii="宋体" w:hAnsi="宋体"/>
                <w:b/>
                <w:bCs/>
                <w:szCs w:val="21"/>
                <w:highlight w:val="none"/>
              </w:rPr>
              <w:t>报价总金额（人民币）</w:t>
            </w:r>
          </w:p>
        </w:tc>
        <w:tc>
          <w:tcPr>
            <w:tcW w:w="1171" w:type="pct"/>
            <w:vAlign w:val="center"/>
          </w:tcPr>
          <w:p w14:paraId="565B6F7C">
            <w:pPr>
              <w:widowControl/>
              <w:jc w:val="center"/>
              <w:rPr>
                <w:rFonts w:ascii="宋体" w:hAnsi="宋体"/>
                <w:b/>
                <w:bCs/>
                <w:szCs w:val="21"/>
                <w:highlight w:val="none"/>
              </w:rPr>
            </w:pPr>
            <w:r>
              <w:rPr>
                <w:rFonts w:hint="eastAsia" w:ascii="宋体" w:hAnsi="宋体"/>
                <w:b/>
                <w:bCs/>
                <w:szCs w:val="21"/>
                <w:highlight w:val="none"/>
              </w:rPr>
              <w:t>产品品牌/型号</w:t>
            </w:r>
          </w:p>
        </w:tc>
        <w:tc>
          <w:tcPr>
            <w:tcW w:w="787" w:type="pct"/>
            <w:vAlign w:val="center"/>
          </w:tcPr>
          <w:p w14:paraId="4FCF1620">
            <w:pPr>
              <w:widowControl/>
              <w:jc w:val="center"/>
              <w:rPr>
                <w:rFonts w:ascii="宋体" w:hAnsi="宋体"/>
                <w:b/>
                <w:bCs/>
                <w:szCs w:val="21"/>
                <w:highlight w:val="none"/>
              </w:rPr>
            </w:pPr>
            <w:r>
              <w:rPr>
                <w:rFonts w:hint="eastAsia" w:ascii="宋体" w:hAnsi="宋体"/>
                <w:b/>
                <w:bCs/>
                <w:szCs w:val="21"/>
                <w:highlight w:val="none"/>
              </w:rPr>
              <w:t>限价</w:t>
            </w:r>
          </w:p>
        </w:tc>
      </w:tr>
      <w:tr w14:paraId="295768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1" w:type="pct"/>
            <w:vAlign w:val="center"/>
          </w:tcPr>
          <w:p w14:paraId="0201B793">
            <w:pPr>
              <w:widowControl/>
              <w:jc w:val="center"/>
              <w:rPr>
                <w:rFonts w:hint="default" w:ascii="宋体" w:hAnsi="宋体" w:eastAsia="宋体" w:cs="宋体"/>
                <w:szCs w:val="21"/>
                <w:highlight w:val="none"/>
                <w:lang w:val="en-US" w:eastAsia="zh-CN"/>
              </w:rPr>
            </w:pPr>
            <w:r>
              <w:rPr>
                <w:rFonts w:hint="eastAsia"/>
                <w:sz w:val="24"/>
                <w:highlight w:val="none"/>
                <w:lang w:val="en-US" w:eastAsia="zh-CN" w:bidi="en-US"/>
              </w:rPr>
              <w:t>数学计算仿真软件</w:t>
            </w:r>
          </w:p>
        </w:tc>
        <w:tc>
          <w:tcPr>
            <w:tcW w:w="688" w:type="pct"/>
            <w:vAlign w:val="center"/>
          </w:tcPr>
          <w:p w14:paraId="7C2149D6">
            <w:pPr>
              <w:widowControl/>
              <w:jc w:val="center"/>
              <w:rPr>
                <w:rFonts w:ascii="宋体" w:hAnsi="宋体" w:cs="宋体"/>
                <w:szCs w:val="21"/>
                <w:highlight w:val="none"/>
              </w:rPr>
            </w:pPr>
            <w:r>
              <w:rPr>
                <w:rFonts w:hint="eastAsia" w:ascii="宋体" w:hAnsi="宋体" w:cs="宋体"/>
                <w:szCs w:val="21"/>
                <w:highlight w:val="none"/>
              </w:rPr>
              <w:t>1</w:t>
            </w:r>
          </w:p>
        </w:tc>
        <w:tc>
          <w:tcPr>
            <w:tcW w:w="1561" w:type="pct"/>
            <w:vAlign w:val="center"/>
          </w:tcPr>
          <w:p w14:paraId="03FB193F">
            <w:pPr>
              <w:spacing w:line="360" w:lineRule="auto"/>
              <w:rPr>
                <w:sz w:val="24"/>
                <w:szCs w:val="24"/>
                <w:highlight w:val="none"/>
              </w:rPr>
            </w:pP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p>
          <w:p w14:paraId="126A7A2B">
            <w:pPr>
              <w:widowControl/>
              <w:rPr>
                <w:rFonts w:ascii="宋体" w:hAnsi="宋体" w:cs="宋体"/>
                <w:sz w:val="24"/>
                <w:szCs w:val="24"/>
                <w:highlight w:val="none"/>
              </w:rPr>
            </w:pPr>
            <w:r>
              <w:rPr>
                <w:rFonts w:hint="eastAsia" w:ascii="宋体" w:hAnsi="宋体" w:cs="宋体"/>
                <w:sz w:val="24"/>
                <w:szCs w:val="24"/>
                <w:highlight w:val="none"/>
              </w:rPr>
              <w:t>大写：</w:t>
            </w:r>
            <w:r>
              <w:rPr>
                <w:rFonts w:hint="eastAsia" w:ascii="宋体" w:hAnsi="宋体" w:cs="宋体"/>
                <w:sz w:val="24"/>
                <w:szCs w:val="24"/>
                <w:highlight w:val="none"/>
                <w:u w:val="single"/>
              </w:rPr>
              <w:t xml:space="preserve">                  </w:t>
            </w:r>
            <w:r>
              <w:rPr>
                <w:rFonts w:hint="eastAsia" w:ascii="宋体" w:hAnsi="宋体" w:cs="宋体"/>
                <w:sz w:val="24"/>
                <w:highlight w:val="none"/>
                <w:u w:val="single"/>
              </w:rPr>
              <w:t xml:space="preserve">              </w:t>
            </w:r>
          </w:p>
        </w:tc>
        <w:tc>
          <w:tcPr>
            <w:tcW w:w="1171" w:type="pct"/>
            <w:vAlign w:val="center"/>
          </w:tcPr>
          <w:p w14:paraId="4131E18C">
            <w:pPr>
              <w:spacing w:line="360" w:lineRule="auto"/>
              <w:jc w:val="center"/>
              <w:rPr>
                <w:rFonts w:hint="eastAsia" w:ascii="宋体" w:hAnsi="宋体" w:eastAsia="宋体" w:cs="宋体"/>
                <w:szCs w:val="21"/>
                <w:highlight w:val="none"/>
                <w:lang w:val="en-US" w:eastAsia="zh-CN"/>
              </w:rPr>
            </w:pPr>
          </w:p>
        </w:tc>
        <w:tc>
          <w:tcPr>
            <w:tcW w:w="787" w:type="pct"/>
            <w:vAlign w:val="center"/>
          </w:tcPr>
          <w:p w14:paraId="241A8B1C">
            <w:pPr>
              <w:widowControl/>
              <w:jc w:val="center"/>
              <w:rPr>
                <w:rFonts w:ascii="宋体" w:hAnsi="宋体" w:cs="宋体"/>
                <w:b/>
                <w:bCs/>
                <w:szCs w:val="21"/>
                <w:highlight w:val="none"/>
              </w:rPr>
            </w:pPr>
            <w:r>
              <w:rPr>
                <w:rFonts w:hint="eastAsia" w:ascii="宋体" w:hAnsi="宋体" w:cs="宋体"/>
                <w:b/>
                <w:bCs/>
                <w:szCs w:val="21"/>
                <w:highlight w:val="none"/>
                <w:lang w:val="en-US" w:eastAsia="zh-CN"/>
              </w:rPr>
              <w:t>53.6</w:t>
            </w:r>
            <w:r>
              <w:rPr>
                <w:rFonts w:hint="eastAsia" w:ascii="宋体" w:hAnsi="宋体"/>
                <w:b/>
                <w:bCs/>
                <w:szCs w:val="21"/>
                <w:highlight w:val="none"/>
              </w:rPr>
              <w:t>万元</w:t>
            </w:r>
          </w:p>
        </w:tc>
      </w:tr>
    </w:tbl>
    <w:p w14:paraId="7027B2E9">
      <w:pPr>
        <w:spacing w:before="480" w:beforeLines="200" w:after="240" w:afterLines="100" w:line="360" w:lineRule="auto"/>
        <w:jc w:val="right"/>
        <w:rPr>
          <w:rFonts w:asciiTheme="majorEastAsia" w:hAnsiTheme="majorEastAsia" w:eastAsiaTheme="majorEastAsia"/>
          <w:highlight w:val="none"/>
        </w:rPr>
      </w:pPr>
      <w:r>
        <w:rPr>
          <w:rFonts w:hint="eastAsia" w:asciiTheme="majorEastAsia" w:hAnsiTheme="majorEastAsia" w:eastAsiaTheme="majorEastAsia"/>
          <w:highlight w:val="none"/>
        </w:rPr>
        <w:t>供应商</w:t>
      </w:r>
      <w:r>
        <w:rPr>
          <w:rFonts w:asciiTheme="majorEastAsia" w:hAnsiTheme="majorEastAsia" w:eastAsiaTheme="majorEastAsia"/>
          <w:highlight w:val="none"/>
        </w:rPr>
        <w:t>名称：</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（盖单位公章）</w:t>
      </w:r>
    </w:p>
    <w:p w14:paraId="3E079885">
      <w:pPr>
        <w:spacing w:before="240" w:beforeLines="100" w:after="240" w:afterLines="100" w:line="360" w:lineRule="auto"/>
        <w:jc w:val="right"/>
        <w:rPr>
          <w:rFonts w:asciiTheme="majorEastAsia" w:hAnsiTheme="majorEastAsia" w:eastAsiaTheme="majorEastAsia"/>
          <w:highlight w:val="none"/>
        </w:rPr>
      </w:pPr>
      <w:r>
        <w:rPr>
          <w:rFonts w:asciiTheme="majorEastAsia" w:hAnsiTheme="majorEastAsia" w:eastAsiaTheme="majorEastAsia"/>
          <w:highlight w:val="none"/>
        </w:rPr>
        <w:t>法定代表人或者其委托代理人：</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（签字）</w:t>
      </w:r>
    </w:p>
    <w:p w14:paraId="4472F42B">
      <w:pPr>
        <w:spacing w:before="240" w:beforeLines="100" w:after="240" w:afterLines="100" w:line="360" w:lineRule="auto"/>
        <w:jc w:val="right"/>
        <w:rPr>
          <w:rFonts w:asciiTheme="majorEastAsia" w:hAnsiTheme="majorEastAsia" w:eastAsiaTheme="majorEastAsia"/>
          <w:highlight w:val="none"/>
        </w:rPr>
      </w:pPr>
      <w:r>
        <w:rPr>
          <w:rFonts w:hint="eastAsia" w:asciiTheme="majorEastAsia" w:hAnsiTheme="majorEastAsia" w:eastAsiaTheme="majorEastAsia"/>
          <w:highlight w:val="none"/>
        </w:rPr>
        <w:t>日期：</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年</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月</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日</w:t>
      </w:r>
    </w:p>
    <w:p w14:paraId="090DE4E6">
      <w:pPr>
        <w:spacing w:line="360" w:lineRule="auto"/>
        <w:rPr>
          <w:rFonts w:asciiTheme="majorEastAsia" w:hAnsiTheme="majorEastAsia" w:eastAsiaTheme="majorEastAsia"/>
          <w:b/>
          <w:bCs/>
          <w:highlight w:val="none"/>
        </w:rPr>
      </w:pPr>
      <w:r>
        <w:rPr>
          <w:rFonts w:asciiTheme="majorEastAsia" w:hAnsiTheme="majorEastAsia" w:eastAsiaTheme="majorEastAsia"/>
          <w:b/>
          <w:bCs/>
          <w:highlight w:val="none"/>
        </w:rPr>
        <w:t>注：</w:t>
      </w:r>
    </w:p>
    <w:p w14:paraId="751305C5">
      <w:pPr>
        <w:pStyle w:val="19"/>
        <w:spacing w:line="360" w:lineRule="auto"/>
        <w:ind w:left="0" w:leftChars="0"/>
        <w:rPr>
          <w:rFonts w:eastAsiaTheme="majorEastAsia"/>
          <w:highlight w:val="none"/>
        </w:rPr>
      </w:pPr>
      <w:r>
        <w:rPr>
          <w:rFonts w:hint="eastAsia" w:asciiTheme="majorEastAsia" w:hAnsiTheme="majorEastAsia" w:eastAsiaTheme="majorEastAsia"/>
          <w:szCs w:val="21"/>
          <w:highlight w:val="none"/>
        </w:rPr>
        <w:t>1.供应商不得实质性改动响应一览表格式及内容。</w:t>
      </w:r>
    </w:p>
    <w:p w14:paraId="75D15BF0">
      <w:pPr>
        <w:spacing w:line="360" w:lineRule="auto"/>
        <w:rPr>
          <w:highlight w:val="none"/>
        </w:rPr>
      </w:pPr>
      <w:r>
        <w:rPr>
          <w:rFonts w:hint="eastAsia" w:asciiTheme="majorEastAsia" w:hAnsiTheme="majorEastAsia" w:eastAsiaTheme="majorEastAsia"/>
          <w:highlight w:val="none"/>
        </w:rPr>
        <w:t>2.响应一览表除了装订在</w:t>
      </w:r>
      <w:r>
        <w:rPr>
          <w:rFonts w:hint="eastAsia"/>
          <w:highlight w:val="none"/>
        </w:rPr>
        <w:t>响应文件中以外，还需要</w:t>
      </w:r>
      <w:r>
        <w:rPr>
          <w:rFonts w:hint="eastAsia"/>
          <w:b/>
          <w:bCs/>
          <w:highlight w:val="none"/>
        </w:rPr>
        <w:t>提供一份单独密封的响应一览表及响应报价清单（如有），单独密封的响应一览表及响应报价清单（如有）仅是为方便唱标所用</w:t>
      </w:r>
      <w:r>
        <w:rPr>
          <w:rFonts w:hint="eastAsia"/>
          <w:highlight w:val="none"/>
        </w:rPr>
        <w:t>，如未提供，不构成响应文件的完整性偏离。</w:t>
      </w:r>
    </w:p>
    <w:p w14:paraId="7BC0EC50">
      <w:pPr>
        <w:spacing w:line="360" w:lineRule="auto"/>
        <w:rPr>
          <w:rFonts w:asciiTheme="majorEastAsia" w:hAnsiTheme="majorEastAsia" w:eastAsiaTheme="majorEastAsia"/>
          <w:highlight w:val="none"/>
        </w:rPr>
      </w:pPr>
      <w:r>
        <w:rPr>
          <w:rFonts w:hint="eastAsia"/>
          <w:highlight w:val="none"/>
        </w:rPr>
        <w:t>3</w:t>
      </w:r>
      <w:r>
        <w:rPr>
          <w:highlight w:val="none"/>
        </w:rPr>
        <w:t>.</w:t>
      </w:r>
      <w:r>
        <w:rPr>
          <w:rFonts w:asciiTheme="majorEastAsia" w:hAnsiTheme="majorEastAsia" w:eastAsiaTheme="majorEastAsia"/>
          <w:highlight w:val="none"/>
        </w:rPr>
        <w:t xml:space="preserve"> </w:t>
      </w:r>
      <w:r>
        <w:rPr>
          <w:rFonts w:hint="eastAsia" w:asciiTheme="majorEastAsia" w:hAnsiTheme="majorEastAsia" w:eastAsiaTheme="majorEastAsia"/>
          <w:highlight w:val="none"/>
        </w:rPr>
        <w:t>响应</w:t>
      </w:r>
      <w:r>
        <w:rPr>
          <w:rFonts w:asciiTheme="majorEastAsia" w:hAnsiTheme="majorEastAsia" w:eastAsiaTheme="majorEastAsia"/>
          <w:highlight w:val="none"/>
        </w:rPr>
        <w:t>报价不得超过最高限价，否则作无效</w:t>
      </w:r>
      <w:r>
        <w:rPr>
          <w:rFonts w:hint="eastAsia" w:asciiTheme="majorEastAsia" w:hAnsiTheme="majorEastAsia" w:eastAsiaTheme="majorEastAsia"/>
          <w:highlight w:val="none"/>
        </w:rPr>
        <w:t>响应</w:t>
      </w:r>
      <w:r>
        <w:rPr>
          <w:rFonts w:asciiTheme="majorEastAsia" w:hAnsiTheme="majorEastAsia" w:eastAsiaTheme="majorEastAsia"/>
          <w:highlight w:val="none"/>
        </w:rPr>
        <w:t>处理</w:t>
      </w:r>
      <w:r>
        <w:rPr>
          <w:rFonts w:hint="eastAsia" w:asciiTheme="majorEastAsia" w:hAnsiTheme="majorEastAsia" w:eastAsiaTheme="majorEastAsia"/>
          <w:highlight w:val="none"/>
        </w:rPr>
        <w:t>。</w:t>
      </w:r>
    </w:p>
    <w:p w14:paraId="3336A915">
      <w:pPr>
        <w:spacing w:line="360" w:lineRule="auto"/>
        <w:rPr>
          <w:rFonts w:asciiTheme="majorEastAsia" w:hAnsiTheme="majorEastAsia" w:eastAsiaTheme="majorEastAsia"/>
          <w:highlight w:val="none"/>
        </w:rPr>
      </w:pPr>
    </w:p>
    <w:p w14:paraId="53015362">
      <w:pPr>
        <w:spacing w:line="360" w:lineRule="auto"/>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74E8BEC0">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四、资格证明文件</w:t>
      </w:r>
    </w:p>
    <w:p w14:paraId="1FEAB806">
      <w:pPr>
        <w:pStyle w:val="270"/>
        <w:shd w:val="clear" w:color="auto" w:fill="auto"/>
        <w:spacing w:line="360" w:lineRule="auto"/>
        <w:outlineLvl w:val="9"/>
        <w:rPr>
          <w:color w:val="000000" w:themeColor="text1"/>
          <w:highlight w:val="none"/>
          <w14:textFill>
            <w14:solidFill>
              <w14:schemeClr w14:val="tx1"/>
            </w14:solidFill>
          </w14:textFill>
        </w:rPr>
      </w:pPr>
      <w:bookmarkStart w:id="15" w:name="_Toc489655335"/>
      <w:r>
        <w:rPr>
          <w:color w:val="000000" w:themeColor="text1"/>
          <w:highlight w:val="none"/>
          <w14:textFill>
            <w14:solidFill>
              <w14:schemeClr w14:val="tx1"/>
            </w14:solidFill>
          </w14:textFill>
        </w:rPr>
        <w:t>资格证明文件</w:t>
      </w:r>
      <w:bookmarkEnd w:id="15"/>
    </w:p>
    <w:p w14:paraId="0AA283CB">
      <w:pPr>
        <w:pStyle w:val="17"/>
        <w:numPr>
          <w:ilvl w:val="0"/>
          <w:numId w:val="6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17A6AC69">
      <w:pPr>
        <w:pStyle w:val="17"/>
        <w:numPr>
          <w:ilvl w:val="0"/>
          <w:numId w:val="6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7030EB51">
      <w:pPr>
        <w:pStyle w:val="17"/>
        <w:numPr>
          <w:ilvl w:val="0"/>
          <w:numId w:val="6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w:t>
      </w:r>
      <w:r>
        <w:rPr>
          <w:rFonts w:hint="eastAsia"/>
          <w:color w:val="000000" w:themeColor="text1"/>
          <w:highlight w:val="none"/>
          <w14:textFill>
            <w14:solidFill>
              <w14:schemeClr w14:val="tx1"/>
            </w14:solidFill>
          </w14:textFill>
        </w:rPr>
        <w:t>2025年度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2026年2月至2026年7月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1FC084F4">
      <w:pPr>
        <w:pStyle w:val="17"/>
        <w:numPr>
          <w:ilvl w:val="0"/>
          <w:numId w:val="6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37B9484D">
      <w:pPr>
        <w:pStyle w:val="17"/>
        <w:numPr>
          <w:ilvl w:val="0"/>
          <w:numId w:val="6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2026年2月至2026年7月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5A178CA2">
      <w:pPr>
        <w:pStyle w:val="17"/>
        <w:numPr>
          <w:ilvl w:val="0"/>
          <w:numId w:val="6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547B1AD0">
      <w:pPr>
        <w:pStyle w:val="17"/>
        <w:numPr>
          <w:ilvl w:val="0"/>
          <w:numId w:val="6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11C06FFD">
      <w:pPr>
        <w:pStyle w:val="17"/>
        <w:numPr>
          <w:ilvl w:val="0"/>
          <w:numId w:val="6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本项目的特定资格要求：</w:t>
      </w:r>
    </w:p>
    <w:p w14:paraId="1E94E8E5">
      <w:pPr>
        <w:pStyle w:val="17"/>
        <w:spacing w:line="360" w:lineRule="auto"/>
        <w:ind w:left="482"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拒绝下述供应商参加本次响应：</w:t>
      </w:r>
    </w:p>
    <w:p w14:paraId="51B76492">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039A048B">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46ACF142">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信用中国”网站（www.creditchina.gov.cn）列入失信被执行人、重大税收违法失信主体、</w:t>
      </w:r>
      <w:r>
        <w:rPr>
          <w:rFonts w:hint="eastAsia"/>
          <w:color w:val="000000" w:themeColor="text1"/>
          <w:highlight w:val="none"/>
          <w:lang w:eastAsia="zh-CN"/>
          <w14:textFill>
            <w14:solidFill>
              <w14:schemeClr w14:val="tx1"/>
            </w14:solidFill>
          </w14:textFill>
        </w:rPr>
        <w:t>政府采购严重违法失信行为记录名单</w:t>
      </w:r>
      <w:r>
        <w:rPr>
          <w:color w:val="000000" w:themeColor="text1"/>
          <w:highlight w:val="none"/>
          <w14:textFill>
            <w14:solidFill>
              <w14:schemeClr w14:val="tx1"/>
            </w14:solidFill>
          </w14:textFill>
        </w:rPr>
        <w:t>。</w:t>
      </w:r>
    </w:p>
    <w:p w14:paraId="73B0439F">
      <w:pPr>
        <w:spacing w:line="360" w:lineRule="auto"/>
        <w:rPr>
          <w:rFonts w:ascii="宋体" w:hAnsi="宋体" w:cs="宋体"/>
          <w:b/>
          <w:color w:val="000000" w:themeColor="text1"/>
          <w:szCs w:val="21"/>
          <w:highlight w:val="none"/>
          <w14:textFill>
            <w14:solidFill>
              <w14:schemeClr w14:val="tx1"/>
            </w14:solidFill>
          </w14:textFill>
        </w:rPr>
      </w:pPr>
    </w:p>
    <w:p w14:paraId="4C1F1203">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五</w:t>
      </w:r>
      <w:r>
        <w:rPr>
          <w:b/>
          <w:color w:val="000000" w:themeColor="text1"/>
          <w:highlight w:val="none"/>
          <w14:textFill>
            <w14:solidFill>
              <w14:schemeClr w14:val="tx1"/>
            </w14:solidFill>
          </w14:textFill>
        </w:rPr>
        <w:t>、技术条款偏离表</w:t>
      </w:r>
    </w:p>
    <w:p w14:paraId="5F02E29E">
      <w:pPr>
        <w:pStyle w:val="268"/>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tbl>
      <w:tblPr>
        <w:tblStyle w:val="45"/>
        <w:tblW w:w="4996" w:type="pct"/>
        <w:jc w:val="center"/>
        <w:tblLayout w:type="autofit"/>
        <w:tblCellMar>
          <w:top w:w="0" w:type="dxa"/>
          <w:left w:w="0" w:type="dxa"/>
          <w:bottom w:w="0" w:type="dxa"/>
          <w:right w:w="0" w:type="dxa"/>
        </w:tblCellMar>
      </w:tblPr>
      <w:tblGrid>
        <w:gridCol w:w="520"/>
        <w:gridCol w:w="1439"/>
        <w:gridCol w:w="2025"/>
        <w:gridCol w:w="1068"/>
        <w:gridCol w:w="1363"/>
        <w:gridCol w:w="1510"/>
        <w:gridCol w:w="1535"/>
      </w:tblGrid>
      <w:tr w14:paraId="66EC773D">
        <w:tblPrEx>
          <w:tblCellMar>
            <w:top w:w="0" w:type="dxa"/>
            <w:left w:w="0" w:type="dxa"/>
            <w:bottom w:w="0" w:type="dxa"/>
            <w:right w:w="0" w:type="dxa"/>
          </w:tblCellMar>
        </w:tblPrEx>
        <w:trPr>
          <w:trHeight w:val="510" w:hRule="atLeast"/>
          <w:jc w:val="center"/>
        </w:trPr>
        <w:tc>
          <w:tcPr>
            <w:tcW w:w="2669" w:type="pct"/>
            <w:gridSpan w:val="4"/>
            <w:tcBorders>
              <w:top w:val="nil"/>
              <w:left w:val="nil"/>
              <w:bottom w:val="single" w:color="auto" w:sz="6" w:space="0"/>
              <w:right w:val="nil"/>
            </w:tcBorders>
            <w:vAlign w:val="center"/>
          </w:tcPr>
          <w:p w14:paraId="0CBCA5F6">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518" w:type="pct"/>
            <w:gridSpan w:val="2"/>
            <w:tcBorders>
              <w:top w:val="nil"/>
              <w:left w:val="nil"/>
              <w:bottom w:val="single" w:color="auto" w:sz="6" w:space="0"/>
              <w:right w:val="nil"/>
            </w:tcBorders>
            <w:vAlign w:val="center"/>
          </w:tcPr>
          <w:p w14:paraId="3C378AAF">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c>
          <w:tcPr>
            <w:tcW w:w="811" w:type="pct"/>
            <w:tcBorders>
              <w:top w:val="nil"/>
              <w:left w:val="nil"/>
              <w:bottom w:val="single" w:color="auto" w:sz="6" w:space="0"/>
              <w:right w:val="nil"/>
            </w:tcBorders>
            <w:vAlign w:val="center"/>
          </w:tcPr>
          <w:p w14:paraId="2E4181CC">
            <w:pPr>
              <w:adjustRightInd w:val="0"/>
              <w:jc w:val="left"/>
              <w:rPr>
                <w:rFonts w:ascii="宋体" w:hAnsi="宋体" w:cs="宋体"/>
                <w:color w:val="000000" w:themeColor="text1"/>
                <w:szCs w:val="21"/>
                <w:highlight w:val="none"/>
                <w:lang w:val="zh-CN"/>
                <w14:textFill>
                  <w14:solidFill>
                    <w14:schemeClr w14:val="tx1"/>
                  </w14:solidFill>
                </w14:textFill>
              </w:rPr>
            </w:pPr>
          </w:p>
        </w:tc>
      </w:tr>
      <w:tr w14:paraId="0ACBF20A">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04E2C692">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760" w:type="pct"/>
            <w:tcBorders>
              <w:top w:val="single" w:color="auto" w:sz="6" w:space="0"/>
              <w:left w:val="single" w:color="auto" w:sz="6" w:space="0"/>
              <w:bottom w:val="single" w:color="auto" w:sz="6" w:space="0"/>
              <w:right w:val="single" w:color="auto" w:sz="6" w:space="0"/>
            </w:tcBorders>
            <w:vAlign w:val="center"/>
          </w:tcPr>
          <w:p w14:paraId="0AE87CC0">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070" w:type="pct"/>
            <w:tcBorders>
              <w:top w:val="single" w:color="auto" w:sz="6" w:space="0"/>
              <w:left w:val="single" w:color="auto" w:sz="6" w:space="0"/>
              <w:bottom w:val="single" w:color="auto" w:sz="6" w:space="0"/>
              <w:right w:val="single" w:color="auto" w:sz="6" w:space="0"/>
            </w:tcBorders>
            <w:vAlign w:val="center"/>
          </w:tcPr>
          <w:p w14:paraId="14067D96">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文件要求的技术</w:t>
            </w:r>
            <w:r>
              <w:rPr>
                <w:rFonts w:hint="eastAsia" w:ascii="宋体" w:hAnsi="宋体" w:cs="宋体"/>
                <w:b/>
                <w:color w:val="000000" w:themeColor="text1"/>
                <w:szCs w:val="21"/>
                <w:highlight w:val="none"/>
                <w14:textFill>
                  <w14:solidFill>
                    <w14:schemeClr w14:val="tx1"/>
                  </w14:solidFill>
                </w14:textFill>
              </w:rPr>
              <w:t>条款</w:t>
            </w: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80CA0EF">
            <w:pPr>
              <w:adjustRightIn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14:textFill>
                  <w14:solidFill>
                    <w14:schemeClr w14:val="tx1"/>
                  </w14:solidFill>
                </w14:textFill>
              </w:rPr>
              <w:t>情况</w:t>
            </w:r>
          </w:p>
        </w:tc>
        <w:tc>
          <w:tcPr>
            <w:tcW w:w="797" w:type="pct"/>
            <w:tcBorders>
              <w:top w:val="single" w:color="auto" w:sz="6" w:space="0"/>
              <w:left w:val="single" w:color="auto" w:sz="6" w:space="0"/>
              <w:bottom w:val="single" w:color="auto" w:sz="6" w:space="0"/>
              <w:right w:val="single" w:color="auto" w:sz="6" w:space="0"/>
            </w:tcBorders>
            <w:vAlign w:val="center"/>
          </w:tcPr>
          <w:p w14:paraId="7786C890">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c>
          <w:tcPr>
            <w:tcW w:w="811" w:type="pct"/>
            <w:tcBorders>
              <w:top w:val="single" w:color="auto" w:sz="6" w:space="0"/>
              <w:left w:val="single" w:color="auto" w:sz="6" w:space="0"/>
              <w:bottom w:val="single" w:color="auto" w:sz="6" w:space="0"/>
              <w:right w:val="single" w:color="auto" w:sz="6" w:space="0"/>
            </w:tcBorders>
            <w:vAlign w:val="center"/>
          </w:tcPr>
          <w:p w14:paraId="1BF7F2EC">
            <w:pPr>
              <w:adjustRightIn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对应页码</w:t>
            </w:r>
          </w:p>
        </w:tc>
      </w:tr>
      <w:tr w14:paraId="232B7C50">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296B999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1FEEFAF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2E1F6EF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6EFBB6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35F59D4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6A5E2D62">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403E6C4C">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2BEA074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C27363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757D7F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005CFF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1A08F6E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6405A94">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7807A184">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AD6DD6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3FF8ADC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22EB03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429EA9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2718A14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D05EC98">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583CDD38">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759BEC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68F8697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CF2517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72C49A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1911619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078698F1">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E429161">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00C533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3E1F7B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EEA10C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492C3E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0D72BA2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5BBD4F4A">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6DDFA4F0">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D9E5A8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5F0347F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BEC38D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04DDB8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55EBF68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FE861E0">
            <w:pPr>
              <w:adjustRightInd w:val="0"/>
              <w:jc w:val="center"/>
              <w:rPr>
                <w:rFonts w:ascii="宋体" w:hAnsi="宋体" w:cs="宋体"/>
                <w:color w:val="000000" w:themeColor="text1"/>
                <w:szCs w:val="21"/>
                <w:highlight w:val="none"/>
                <w:lang w:val="zh-CN"/>
                <w14:textFill>
                  <w14:solidFill>
                    <w14:schemeClr w14:val="tx1"/>
                  </w14:solidFill>
                </w14:textFill>
              </w:rPr>
            </w:pPr>
          </w:p>
        </w:tc>
      </w:tr>
    </w:tbl>
    <w:p w14:paraId="14D650B9">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7CE38EAA">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40E4F835">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2B12EB30">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0FD5536D">
      <w:pPr>
        <w:pStyle w:val="17"/>
        <w:widowControl/>
        <w:numPr>
          <w:ilvl w:val="0"/>
          <w:numId w:val="64"/>
        </w:numPr>
        <w:spacing w:line="360" w:lineRule="auto"/>
        <w:ind w:firstLineChars="0"/>
        <w:rPr>
          <w:color w:val="000000" w:themeColor="text1"/>
          <w:highlight w:val="none"/>
          <w14:textFill>
            <w14:solidFill>
              <w14:schemeClr w14:val="tx1"/>
            </w14:solidFill>
          </w14:textFill>
        </w:rPr>
      </w:pPr>
      <w:r>
        <w:rPr>
          <w:rFonts w:asciiTheme="majorEastAsia" w:hAnsiTheme="majorEastAsia" w:eastAsiaTheme="majorEastAsia"/>
          <w:b/>
          <w:highlight w:val="none"/>
        </w:rPr>
        <w:t>按照</w:t>
      </w:r>
      <w:r>
        <w:rPr>
          <w:rFonts w:hint="eastAsia" w:asciiTheme="majorEastAsia" w:hAnsiTheme="majorEastAsia" w:eastAsiaTheme="majorEastAsia"/>
          <w:b/>
          <w:highlight w:val="none"/>
        </w:rPr>
        <w:t>“第四章 项目需求”中的“主要技术参数要求”</w:t>
      </w:r>
      <w:r>
        <w:rPr>
          <w:rFonts w:asciiTheme="majorEastAsia" w:hAnsiTheme="majorEastAsia" w:eastAsiaTheme="majorEastAsia"/>
          <w:b/>
          <w:highlight w:val="none"/>
        </w:rPr>
        <w:t>详细填列</w:t>
      </w:r>
      <w:r>
        <w:rPr>
          <w:rFonts w:hint="eastAsia" w:asciiTheme="majorEastAsia" w:hAnsiTheme="majorEastAsia" w:eastAsiaTheme="majorEastAsia"/>
          <w:b/>
          <w:highlight w:val="none"/>
        </w:rPr>
        <w:t>，</w:t>
      </w:r>
      <w:r>
        <w:rPr>
          <w:color w:val="000000" w:themeColor="text1"/>
          <w:highlight w:val="none"/>
          <w14:textFill>
            <w14:solidFill>
              <w14:schemeClr w14:val="tx1"/>
            </w14:solidFill>
          </w14:textFill>
        </w:rPr>
        <w:t>如果行数不够，请自行增加；</w:t>
      </w:r>
    </w:p>
    <w:p w14:paraId="05EE3EEA">
      <w:pPr>
        <w:pStyle w:val="17"/>
        <w:widowControl/>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1FF040F8">
      <w:pPr>
        <w:pStyle w:val="17"/>
        <w:widowControl/>
        <w:numPr>
          <w:ilvl w:val="0"/>
          <w:numId w:val="6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w:t>
      </w:r>
      <w:r>
        <w:rPr>
          <w:rFonts w:hint="eastAsia"/>
          <w:color w:val="000000" w:themeColor="text1"/>
          <w:highlight w:val="none"/>
          <w14:textFill>
            <w14:solidFill>
              <w14:schemeClr w14:val="tx1"/>
            </w14:solidFill>
          </w14:textFill>
        </w:rPr>
        <w:t>情况</w:t>
      </w:r>
      <w:r>
        <w:rPr>
          <w:color w:val="000000" w:themeColor="text1"/>
          <w:highlight w:val="none"/>
          <w14:textFill>
            <w14:solidFill>
              <w14:schemeClr w14:val="tx1"/>
            </w14:solidFill>
          </w14:textFill>
        </w:rPr>
        <w:t>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2B0EDFEC">
      <w:pPr>
        <w:pStyle w:val="17"/>
        <w:widowControl/>
        <w:numPr>
          <w:ilvl w:val="0"/>
          <w:numId w:val="0"/>
        </w:numPr>
        <w:spacing w:line="360" w:lineRule="auto"/>
        <w:rPr>
          <w:color w:val="000000" w:themeColor="text1"/>
          <w:highlight w:val="none"/>
          <w14:textFill>
            <w14:solidFill>
              <w14:schemeClr w14:val="tx1"/>
            </w14:solidFill>
          </w14:textFill>
        </w:rPr>
      </w:pPr>
    </w:p>
    <w:p w14:paraId="2347B469">
      <w:pPr>
        <w:pStyle w:val="17"/>
        <w:widowControl/>
        <w:numPr>
          <w:ilvl w:val="0"/>
          <w:numId w:val="0"/>
        </w:numPr>
        <w:spacing w:after="120" w:line="360" w:lineRule="auto"/>
        <w:jc w:val="both"/>
        <w:rPr>
          <w:color w:val="000000" w:themeColor="text1"/>
          <w:highlight w:val="none"/>
          <w14:textFill>
            <w14:solidFill>
              <w14:schemeClr w14:val="tx1"/>
            </w14:solidFill>
          </w14:textFill>
        </w:rPr>
      </w:pPr>
    </w:p>
    <w:p w14:paraId="5EF93924">
      <w:pPr>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1A120C1F">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六</w:t>
      </w:r>
      <w:r>
        <w:rPr>
          <w:b/>
          <w:color w:val="000000" w:themeColor="text1"/>
          <w:highlight w:val="none"/>
          <w14:textFill>
            <w14:solidFill>
              <w14:schemeClr w14:val="tx1"/>
            </w14:solidFill>
          </w14:textFill>
        </w:rPr>
        <w:t>、商务条款偏离表</w:t>
      </w:r>
    </w:p>
    <w:p w14:paraId="4167C645">
      <w:pPr>
        <w:pStyle w:val="268"/>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79EFB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52E2A12">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462" w:type="pct"/>
            <w:gridSpan w:val="2"/>
            <w:tcBorders>
              <w:top w:val="nil"/>
              <w:left w:val="nil"/>
              <w:right w:val="nil"/>
            </w:tcBorders>
            <w:vAlign w:val="center"/>
          </w:tcPr>
          <w:p w14:paraId="1710C8B0">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68C6D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CDBC457">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74" w:type="pct"/>
            <w:vAlign w:val="center"/>
          </w:tcPr>
          <w:p w14:paraId="16083C2A">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515" w:type="pct"/>
            <w:vAlign w:val="center"/>
          </w:tcPr>
          <w:p w14:paraId="54F8C2CA">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文件要求的商务条款</w:t>
            </w:r>
          </w:p>
        </w:tc>
        <w:tc>
          <w:tcPr>
            <w:tcW w:w="1364" w:type="pct"/>
            <w:gridSpan w:val="2"/>
            <w:vAlign w:val="center"/>
          </w:tcPr>
          <w:p w14:paraId="6655ADAD">
            <w:pPr>
              <w:adjustRightIn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14:textFill>
                  <w14:solidFill>
                    <w14:schemeClr w14:val="tx1"/>
                  </w14:solidFill>
                </w14:textFill>
              </w:rPr>
              <w:t>情况</w:t>
            </w:r>
          </w:p>
        </w:tc>
        <w:tc>
          <w:tcPr>
            <w:tcW w:w="709" w:type="pct"/>
            <w:vAlign w:val="center"/>
          </w:tcPr>
          <w:p w14:paraId="7FF4AE12">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3AD6C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FEA493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4A07C0B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2678D80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503D96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7FB76CD3">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82E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DA58BC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32EF427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1FD63A9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78922E0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1AFDDDAD">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990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82E3AD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6094A8D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421F272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02E39E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4870C709">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3078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606981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6604BCE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5ECF1BD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A6BFCF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2BD48538">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5B89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2F8DC2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4022F64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184EAC0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1D2B59A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231AF080">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8499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75D94A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1C1C4C6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04AB78F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14D418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4BD793AF">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BD94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9485F62">
            <w:pPr>
              <w:jc w:val="center"/>
              <w:rPr>
                <w:rFonts w:ascii="宋体" w:hAnsi="宋体" w:cs="Arial"/>
                <w:color w:val="000000" w:themeColor="text1"/>
                <w:szCs w:val="21"/>
                <w:highlight w:val="none"/>
                <w14:textFill>
                  <w14:solidFill>
                    <w14:schemeClr w14:val="tx1"/>
                  </w14:solidFill>
                </w14:textFill>
              </w:rPr>
            </w:pPr>
          </w:p>
        </w:tc>
        <w:tc>
          <w:tcPr>
            <w:tcW w:w="974" w:type="pct"/>
            <w:vAlign w:val="center"/>
          </w:tcPr>
          <w:p w14:paraId="5880034C">
            <w:pPr>
              <w:jc w:val="center"/>
              <w:rPr>
                <w:rFonts w:ascii="宋体" w:hAnsi="宋体" w:cs="Arial"/>
                <w:color w:val="000000" w:themeColor="text1"/>
                <w:szCs w:val="21"/>
                <w:highlight w:val="none"/>
                <w14:textFill>
                  <w14:solidFill>
                    <w14:schemeClr w14:val="tx1"/>
                  </w14:solidFill>
                </w14:textFill>
              </w:rPr>
            </w:pPr>
          </w:p>
        </w:tc>
        <w:tc>
          <w:tcPr>
            <w:tcW w:w="1515" w:type="pct"/>
            <w:vAlign w:val="center"/>
          </w:tcPr>
          <w:p w14:paraId="420B6C80">
            <w:pPr>
              <w:jc w:val="center"/>
              <w:rPr>
                <w:rFonts w:ascii="宋体" w:hAnsi="宋体" w:cs="Arial"/>
                <w:color w:val="000000" w:themeColor="text1"/>
                <w:szCs w:val="21"/>
                <w:highlight w:val="none"/>
                <w14:textFill>
                  <w14:solidFill>
                    <w14:schemeClr w14:val="tx1"/>
                  </w14:solidFill>
                </w14:textFill>
              </w:rPr>
            </w:pPr>
          </w:p>
        </w:tc>
        <w:tc>
          <w:tcPr>
            <w:tcW w:w="1364" w:type="pct"/>
            <w:gridSpan w:val="2"/>
            <w:vAlign w:val="center"/>
          </w:tcPr>
          <w:p w14:paraId="4B4E47EF">
            <w:pPr>
              <w:jc w:val="center"/>
              <w:rPr>
                <w:rFonts w:ascii="宋体" w:hAnsi="宋体" w:cs="Arial"/>
                <w:color w:val="000000" w:themeColor="text1"/>
                <w:szCs w:val="21"/>
                <w:highlight w:val="none"/>
                <w14:textFill>
                  <w14:solidFill>
                    <w14:schemeClr w14:val="tx1"/>
                  </w14:solidFill>
                </w14:textFill>
              </w:rPr>
            </w:pPr>
          </w:p>
        </w:tc>
        <w:tc>
          <w:tcPr>
            <w:tcW w:w="709" w:type="pct"/>
            <w:vAlign w:val="center"/>
          </w:tcPr>
          <w:p w14:paraId="152A8913">
            <w:pPr>
              <w:jc w:val="center"/>
              <w:rPr>
                <w:rFonts w:ascii="宋体" w:hAnsi="宋体" w:cs="Arial"/>
                <w:color w:val="000000" w:themeColor="text1"/>
                <w:szCs w:val="21"/>
                <w:highlight w:val="none"/>
                <w14:textFill>
                  <w14:solidFill>
                    <w14:schemeClr w14:val="tx1"/>
                  </w14:solidFill>
                </w14:textFill>
              </w:rPr>
            </w:pPr>
          </w:p>
        </w:tc>
      </w:tr>
    </w:tbl>
    <w:p w14:paraId="7A1C9307">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35417C70">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2C4FA922">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07184C08">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4A2977BE">
      <w:pPr>
        <w:pStyle w:val="17"/>
        <w:widowControl/>
        <w:numPr>
          <w:ilvl w:val="0"/>
          <w:numId w:val="6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33E38DA4">
      <w:pPr>
        <w:pStyle w:val="17"/>
        <w:widowControl/>
        <w:numPr>
          <w:ilvl w:val="0"/>
          <w:numId w:val="6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3BBD8958">
      <w:pPr>
        <w:pStyle w:val="17"/>
        <w:widowControl/>
        <w:numPr>
          <w:ilvl w:val="0"/>
          <w:numId w:val="65"/>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供应商必须仔细阅读</w:t>
      </w:r>
      <w:r>
        <w:rPr>
          <w:rFonts w:hint="eastAsia"/>
          <w:color w:val="000000" w:themeColor="text1"/>
          <w:highlight w:val="none"/>
          <w:lang w:val="en-US" w:eastAsia="zh-CN"/>
          <w14:textFill>
            <w14:solidFill>
              <w14:schemeClr w14:val="tx1"/>
            </w14:solidFill>
          </w14:textFill>
        </w:rPr>
        <w:t>采购</w:t>
      </w:r>
      <w:r>
        <w:rPr>
          <w:rFonts w:hint="eastAsia"/>
          <w:color w:val="000000" w:themeColor="text1"/>
          <w:highlight w:val="none"/>
          <w14:textFill>
            <w14:solidFill>
              <w14:schemeClr w14:val="tx1"/>
            </w14:solidFill>
          </w14:textFill>
        </w:rPr>
        <w:t>文件第四章“项目需求”以及第五章“合同主要条款及格式”中所有商务条款和相关服务要求，并对所有商务条款和服务要求的</w:t>
      </w:r>
      <w:r>
        <w:rPr>
          <w:rFonts w:hint="eastAsia"/>
          <w:color w:val="000000" w:themeColor="text1"/>
          <w:highlight w:val="none"/>
          <w:lang w:val="en-US" w:eastAsia="zh-CN"/>
          <w14:textFill>
            <w14:solidFill>
              <w14:schemeClr w14:val="tx1"/>
            </w14:solidFill>
          </w14:textFill>
        </w:rPr>
        <w:t>偏离</w:t>
      </w:r>
      <w:r>
        <w:rPr>
          <w:rFonts w:hint="eastAsia"/>
          <w:color w:val="000000" w:themeColor="text1"/>
          <w:highlight w:val="none"/>
          <w14:textFill>
            <w14:solidFill>
              <w14:schemeClr w14:val="tx1"/>
            </w14:solidFill>
          </w14:textFill>
        </w:rPr>
        <w:t>条目列入上表。</w:t>
      </w:r>
      <w:r>
        <w:rPr>
          <w:rFonts w:hint="eastAsia" w:ascii="Times New Roman" w:hAnsi="Times New Roman" w:eastAsia="宋体" w:cs="Times New Roman"/>
          <w:color w:val="000000" w:themeColor="text1"/>
          <w:highlight w:val="none"/>
          <w14:textFill>
            <w14:solidFill>
              <w14:schemeClr w14:val="tx1"/>
            </w14:solidFill>
          </w14:textFill>
        </w:rPr>
        <w:t>未在本偏离表中列出偏离</w:t>
      </w:r>
      <w:r>
        <w:rPr>
          <w:rFonts w:hint="eastAsia" w:ascii="Times New Roman" w:hAnsi="Times New Roman" w:eastAsia="宋体" w:cs="Times New Roman"/>
          <w:color w:val="000000" w:themeColor="text1"/>
          <w:highlight w:val="none"/>
          <w:lang w:val="en-US" w:eastAsia="zh-CN"/>
          <w14:textFill>
            <w14:solidFill>
              <w14:schemeClr w14:val="tx1"/>
            </w14:solidFill>
          </w14:textFill>
        </w:rPr>
        <w:t>条目</w:t>
      </w:r>
      <w:r>
        <w:rPr>
          <w:rFonts w:hint="eastAsia" w:ascii="Times New Roman" w:hAnsi="Times New Roman" w:eastAsia="宋体" w:cs="Times New Roman"/>
          <w:color w:val="000000" w:themeColor="text1"/>
          <w:highlight w:val="none"/>
          <w14:textFill>
            <w14:solidFill>
              <w14:schemeClr w14:val="tx1"/>
            </w14:solidFill>
          </w14:textFill>
        </w:rPr>
        <w:t>，将视为供应商已完全接受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采购</w:t>
      </w:r>
      <w:r>
        <w:rPr>
          <w:rFonts w:hint="eastAsia" w:ascii="Times New Roman" w:hAnsi="Times New Roman" w:eastAsia="宋体" w:cs="Times New Roman"/>
          <w:color w:val="000000" w:themeColor="text1"/>
          <w:highlight w:val="none"/>
          <w14:textFill>
            <w14:solidFill>
              <w14:schemeClr w14:val="tx1"/>
            </w14:solidFill>
          </w14:textFill>
        </w:rPr>
        <w:t>文件要求。如完全无偏离，也无其他说明，可在本表第一行填写“全部无偏离”。</w:t>
      </w:r>
    </w:p>
    <w:p w14:paraId="770B1186">
      <w:pPr>
        <w:pStyle w:val="17"/>
        <w:widowControl/>
        <w:numPr>
          <w:ilvl w:val="0"/>
          <w:numId w:val="0"/>
        </w:numPr>
        <w:spacing w:after="120" w:line="360" w:lineRule="auto"/>
        <w:jc w:val="both"/>
        <w:rPr>
          <w:color w:val="000000" w:themeColor="text1"/>
          <w:highlight w:val="none"/>
          <w14:textFill>
            <w14:solidFill>
              <w14:schemeClr w14:val="tx1"/>
            </w14:solidFill>
          </w14:textFill>
        </w:rPr>
      </w:pPr>
    </w:p>
    <w:p w14:paraId="714ADAB8">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5FB5B84F">
      <w:pPr>
        <w:pStyle w:val="17"/>
        <w:numPr>
          <w:ilvl w:val="255"/>
          <w:numId w:val="0"/>
        </w:numPr>
        <w:spacing w:line="360" w:lineRule="auto"/>
        <w:ind w:left="420"/>
        <w:outlineLvl w:val="1"/>
        <w:rPr>
          <w:b/>
          <w:color w:val="000000" w:themeColor="text1"/>
          <w:highlight w:val="none"/>
          <w14:textFill>
            <w14:solidFill>
              <w14:schemeClr w14:val="tx1"/>
            </w14:solidFill>
          </w14:textFill>
        </w:rPr>
      </w:pPr>
      <w:bookmarkStart w:id="16" w:name="_Toc202786551"/>
      <w:bookmarkStart w:id="17" w:name="_Toc87364929"/>
      <w:r>
        <w:rPr>
          <w:rFonts w:hint="eastAsia"/>
          <w:b/>
          <w:color w:val="000000" w:themeColor="text1"/>
          <w:highlight w:val="none"/>
          <w14:textFill>
            <w14:solidFill>
              <w14:schemeClr w14:val="tx1"/>
            </w14:solidFill>
          </w14:textFill>
        </w:rPr>
        <w:t>七、</w:t>
      </w:r>
      <w:bookmarkEnd w:id="16"/>
      <w:bookmarkEnd w:id="17"/>
      <w:r>
        <w:rPr>
          <w:b/>
          <w:color w:val="000000" w:themeColor="text1"/>
          <w:highlight w:val="none"/>
          <w14:textFill>
            <w14:solidFill>
              <w14:schemeClr w14:val="tx1"/>
            </w14:solidFill>
          </w14:textFill>
        </w:rPr>
        <w:t>评分项审查材料</w:t>
      </w:r>
    </w:p>
    <w:p w14:paraId="1804AD96">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7.1服务</w:t>
      </w:r>
      <w:r>
        <w:rPr>
          <w:rFonts w:hint="eastAsia" w:asciiTheme="majorEastAsia" w:hAnsiTheme="majorEastAsia" w:eastAsiaTheme="majorEastAsia"/>
          <w:b/>
          <w:sz w:val="24"/>
          <w:szCs w:val="24"/>
          <w:highlight w:val="none"/>
          <w:lang w:val="en-US" w:eastAsia="zh-CN"/>
        </w:rPr>
        <w:t>方案-</w:t>
      </w:r>
      <w:r>
        <w:rPr>
          <w:rFonts w:hint="eastAsia" w:asciiTheme="majorEastAsia" w:hAnsiTheme="majorEastAsia" w:eastAsiaTheme="majorEastAsia"/>
          <w:b/>
          <w:sz w:val="24"/>
          <w:szCs w:val="24"/>
          <w:highlight w:val="none"/>
        </w:rPr>
        <w:t>实施方案</w:t>
      </w:r>
    </w:p>
    <w:p w14:paraId="7FE50500">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Cs/>
          <w:sz w:val="24"/>
          <w:szCs w:val="24"/>
          <w:highlight w:val="none"/>
        </w:rPr>
        <w:t>根据要求提供</w:t>
      </w:r>
    </w:p>
    <w:p w14:paraId="45C06FB8">
      <w:pPr>
        <w:pStyle w:val="19"/>
        <w:rPr>
          <w:rFonts w:hint="default"/>
          <w:lang w:val="en-US"/>
        </w:rPr>
      </w:pPr>
    </w:p>
    <w:p w14:paraId="2BF4EE96">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w:t>
      </w:r>
      <w:r>
        <w:rPr>
          <w:rFonts w:hint="eastAsia" w:asciiTheme="majorEastAsia" w:hAnsiTheme="majorEastAsia" w:eastAsiaTheme="majorEastAsia"/>
          <w:b/>
          <w:sz w:val="24"/>
          <w:szCs w:val="24"/>
          <w:highlight w:val="none"/>
          <w:lang w:val="en-US" w:eastAsia="zh-CN"/>
        </w:rPr>
        <w:t>2</w:t>
      </w:r>
      <w:r>
        <w:rPr>
          <w:rFonts w:hint="eastAsia" w:asciiTheme="majorEastAsia" w:hAnsiTheme="majorEastAsia" w:eastAsiaTheme="majorEastAsia"/>
          <w:b/>
          <w:sz w:val="24"/>
          <w:szCs w:val="24"/>
          <w:highlight w:val="none"/>
        </w:rPr>
        <w:t>服务</w:t>
      </w:r>
      <w:r>
        <w:rPr>
          <w:rFonts w:hint="eastAsia" w:asciiTheme="majorEastAsia" w:hAnsiTheme="majorEastAsia" w:eastAsiaTheme="majorEastAsia"/>
          <w:b/>
          <w:sz w:val="24"/>
          <w:szCs w:val="24"/>
          <w:highlight w:val="none"/>
          <w:lang w:val="en-US" w:eastAsia="zh-CN"/>
        </w:rPr>
        <w:t>方案-</w:t>
      </w:r>
      <w:r>
        <w:rPr>
          <w:rFonts w:hint="eastAsia" w:asciiTheme="majorEastAsia" w:hAnsiTheme="majorEastAsia" w:eastAsiaTheme="majorEastAsia"/>
          <w:b/>
          <w:sz w:val="24"/>
          <w:szCs w:val="24"/>
          <w:highlight w:val="none"/>
        </w:rPr>
        <w:t>培训方案</w:t>
      </w:r>
    </w:p>
    <w:p w14:paraId="06C72B7D">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Cs/>
          <w:sz w:val="24"/>
          <w:szCs w:val="24"/>
          <w:highlight w:val="none"/>
        </w:rPr>
        <w:t>根据要求提供</w:t>
      </w:r>
    </w:p>
    <w:p w14:paraId="3A4A93CE">
      <w:pPr>
        <w:pStyle w:val="19"/>
        <w:rPr>
          <w:rFonts w:hint="default"/>
          <w:lang w:val="en-US"/>
        </w:rPr>
      </w:pPr>
    </w:p>
    <w:p w14:paraId="7801BFD8">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w:t>
      </w:r>
      <w:r>
        <w:rPr>
          <w:rFonts w:hint="eastAsia" w:asciiTheme="majorEastAsia" w:hAnsiTheme="majorEastAsia" w:eastAsiaTheme="majorEastAsia"/>
          <w:b/>
          <w:sz w:val="24"/>
          <w:szCs w:val="24"/>
          <w:highlight w:val="none"/>
          <w:lang w:val="en-US" w:eastAsia="zh-CN"/>
        </w:rPr>
        <w:t>3</w:t>
      </w:r>
      <w:r>
        <w:rPr>
          <w:rFonts w:hint="eastAsia" w:asciiTheme="majorEastAsia" w:hAnsiTheme="majorEastAsia" w:eastAsiaTheme="majorEastAsia"/>
          <w:b/>
          <w:sz w:val="24"/>
          <w:szCs w:val="24"/>
          <w:highlight w:val="none"/>
        </w:rPr>
        <w:t>服务</w:t>
      </w:r>
      <w:r>
        <w:rPr>
          <w:rFonts w:hint="eastAsia" w:asciiTheme="majorEastAsia" w:hAnsiTheme="majorEastAsia" w:eastAsiaTheme="majorEastAsia"/>
          <w:b/>
          <w:sz w:val="24"/>
          <w:szCs w:val="24"/>
          <w:highlight w:val="none"/>
          <w:lang w:val="en-US" w:eastAsia="zh-CN"/>
        </w:rPr>
        <w:t>方案-售后服务</w:t>
      </w:r>
      <w:r>
        <w:rPr>
          <w:rFonts w:hint="eastAsia" w:asciiTheme="majorEastAsia" w:hAnsiTheme="majorEastAsia" w:eastAsiaTheme="majorEastAsia"/>
          <w:b/>
          <w:sz w:val="24"/>
          <w:szCs w:val="24"/>
          <w:highlight w:val="none"/>
        </w:rPr>
        <w:t>方案</w:t>
      </w:r>
    </w:p>
    <w:p w14:paraId="2A2974DC">
      <w:pPr>
        <w:spacing w:line="360" w:lineRule="auto"/>
        <w:jc w:val="left"/>
        <w:rPr>
          <w:rFonts w:asciiTheme="majorEastAsia" w:hAnsiTheme="majorEastAsia" w:eastAsiaTheme="majorEastAsia"/>
          <w:b/>
          <w:sz w:val="24"/>
          <w:szCs w:val="24"/>
          <w:highlight w:val="none"/>
        </w:rPr>
      </w:pPr>
      <w:r>
        <w:rPr>
          <w:rFonts w:hint="eastAsia" w:asciiTheme="majorEastAsia" w:hAnsiTheme="majorEastAsia" w:eastAsiaTheme="majorEastAsia"/>
          <w:bCs/>
          <w:sz w:val="24"/>
          <w:szCs w:val="24"/>
          <w:highlight w:val="none"/>
        </w:rPr>
        <w:t>根据要求提供</w:t>
      </w:r>
    </w:p>
    <w:p w14:paraId="4628D0F6">
      <w:pPr>
        <w:pStyle w:val="19"/>
        <w:rPr>
          <w:rFonts w:hint="default"/>
          <w:lang w:val="en-US"/>
        </w:rPr>
      </w:pPr>
    </w:p>
    <w:p w14:paraId="1432CAC1">
      <w:pPr>
        <w:spacing w:line="360" w:lineRule="auto"/>
        <w:jc w:val="left"/>
      </w:pPr>
      <w:r>
        <w:rPr>
          <w:rFonts w:hint="eastAsia" w:asciiTheme="majorEastAsia" w:hAnsiTheme="majorEastAsia" w:eastAsiaTheme="majorEastAsia"/>
          <w:b/>
          <w:sz w:val="24"/>
          <w:szCs w:val="24"/>
          <w:highlight w:val="none"/>
        </w:rPr>
        <w:t>7.</w:t>
      </w:r>
      <w:r>
        <w:rPr>
          <w:rFonts w:hint="eastAsia" w:asciiTheme="majorEastAsia" w:hAnsiTheme="majorEastAsia" w:eastAsiaTheme="majorEastAsia"/>
          <w:b/>
          <w:sz w:val="24"/>
          <w:szCs w:val="24"/>
          <w:highlight w:val="none"/>
          <w:lang w:val="en-US" w:eastAsia="zh-CN"/>
        </w:rPr>
        <w:t>4业绩</w:t>
      </w:r>
    </w:p>
    <w:p w14:paraId="6E49146B">
      <w:pPr>
        <w:spacing w:line="360" w:lineRule="auto"/>
        <w:jc w:val="left"/>
        <w:rPr>
          <w:rFonts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根据要求提供，格式仅供参考</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4"/>
        <w:gridCol w:w="2696"/>
        <w:gridCol w:w="2696"/>
        <w:gridCol w:w="2696"/>
      </w:tblGrid>
      <w:tr w14:paraId="6770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564C4C7E">
            <w:pPr>
              <w:jc w:val="center"/>
              <w:rPr>
                <w:rFonts w:ascii="宋体" w:hAnsi="宋体"/>
                <w:sz w:val="24"/>
                <w:szCs w:val="24"/>
                <w:highlight w:val="none"/>
              </w:rPr>
            </w:pPr>
            <w:r>
              <w:rPr>
                <w:rFonts w:hint="eastAsia" w:ascii="宋体" w:hAnsi="宋体"/>
                <w:sz w:val="24"/>
                <w:szCs w:val="24"/>
                <w:highlight w:val="none"/>
              </w:rPr>
              <w:t>序号</w:t>
            </w:r>
          </w:p>
        </w:tc>
        <w:tc>
          <w:tcPr>
            <w:tcW w:w="1392" w:type="pct"/>
            <w:vAlign w:val="center"/>
          </w:tcPr>
          <w:p w14:paraId="7216DFBF">
            <w:pPr>
              <w:jc w:val="center"/>
              <w:rPr>
                <w:rFonts w:ascii="宋体" w:hAnsi="宋体"/>
                <w:sz w:val="24"/>
                <w:szCs w:val="24"/>
                <w:highlight w:val="none"/>
              </w:rPr>
            </w:pPr>
            <w:r>
              <w:rPr>
                <w:rFonts w:hint="eastAsia" w:ascii="宋体" w:hAnsi="宋体"/>
                <w:sz w:val="24"/>
                <w:szCs w:val="24"/>
                <w:highlight w:val="none"/>
              </w:rPr>
              <w:t>合同名称</w:t>
            </w:r>
          </w:p>
        </w:tc>
        <w:tc>
          <w:tcPr>
            <w:tcW w:w="1392" w:type="pct"/>
            <w:vAlign w:val="center"/>
          </w:tcPr>
          <w:p w14:paraId="2D838593">
            <w:pPr>
              <w:jc w:val="center"/>
              <w:rPr>
                <w:rFonts w:ascii="宋体" w:hAnsi="宋体"/>
                <w:sz w:val="24"/>
                <w:szCs w:val="24"/>
                <w:highlight w:val="none"/>
              </w:rPr>
            </w:pPr>
            <w:r>
              <w:rPr>
                <w:rFonts w:hint="eastAsia" w:ascii="宋体" w:hAnsi="宋体"/>
                <w:sz w:val="24"/>
                <w:szCs w:val="24"/>
                <w:highlight w:val="none"/>
              </w:rPr>
              <w:t>签订日期</w:t>
            </w:r>
          </w:p>
        </w:tc>
        <w:tc>
          <w:tcPr>
            <w:tcW w:w="1392" w:type="pct"/>
            <w:vAlign w:val="center"/>
          </w:tcPr>
          <w:p w14:paraId="0E25A2AD">
            <w:pPr>
              <w:jc w:val="center"/>
              <w:rPr>
                <w:rFonts w:ascii="宋体" w:hAnsi="宋体"/>
                <w:sz w:val="24"/>
                <w:szCs w:val="24"/>
                <w:highlight w:val="none"/>
              </w:rPr>
            </w:pPr>
            <w:r>
              <w:rPr>
                <w:rFonts w:hint="eastAsia" w:ascii="宋体" w:hAnsi="宋体"/>
                <w:sz w:val="24"/>
                <w:szCs w:val="24"/>
                <w:highlight w:val="none"/>
              </w:rPr>
              <w:t>涉及产品</w:t>
            </w:r>
          </w:p>
        </w:tc>
      </w:tr>
      <w:tr w14:paraId="2129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7D1642C6">
            <w:pPr>
              <w:jc w:val="left"/>
              <w:rPr>
                <w:rFonts w:ascii="宋体" w:hAnsi="宋体"/>
                <w:sz w:val="24"/>
                <w:szCs w:val="24"/>
                <w:highlight w:val="none"/>
              </w:rPr>
            </w:pPr>
          </w:p>
        </w:tc>
        <w:tc>
          <w:tcPr>
            <w:tcW w:w="1392" w:type="pct"/>
            <w:vAlign w:val="center"/>
          </w:tcPr>
          <w:p w14:paraId="68162F1E">
            <w:pPr>
              <w:jc w:val="left"/>
              <w:rPr>
                <w:rFonts w:ascii="宋体" w:hAnsi="宋体"/>
                <w:sz w:val="24"/>
                <w:szCs w:val="24"/>
                <w:highlight w:val="none"/>
              </w:rPr>
            </w:pPr>
          </w:p>
        </w:tc>
        <w:tc>
          <w:tcPr>
            <w:tcW w:w="1392" w:type="pct"/>
            <w:vAlign w:val="center"/>
          </w:tcPr>
          <w:p w14:paraId="6A9B10FA">
            <w:pPr>
              <w:jc w:val="left"/>
              <w:rPr>
                <w:rFonts w:ascii="宋体" w:hAnsi="宋体"/>
                <w:sz w:val="24"/>
                <w:szCs w:val="24"/>
                <w:highlight w:val="none"/>
              </w:rPr>
            </w:pPr>
          </w:p>
        </w:tc>
        <w:tc>
          <w:tcPr>
            <w:tcW w:w="1392" w:type="pct"/>
            <w:vAlign w:val="center"/>
          </w:tcPr>
          <w:p w14:paraId="491B0F30">
            <w:pPr>
              <w:jc w:val="left"/>
              <w:rPr>
                <w:rFonts w:ascii="宋体" w:hAnsi="宋体"/>
                <w:sz w:val="24"/>
                <w:szCs w:val="24"/>
                <w:highlight w:val="none"/>
              </w:rPr>
            </w:pPr>
          </w:p>
        </w:tc>
      </w:tr>
      <w:tr w14:paraId="23A7B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40E4EB21">
            <w:pPr>
              <w:jc w:val="left"/>
              <w:rPr>
                <w:rFonts w:ascii="宋体" w:hAnsi="宋体"/>
                <w:sz w:val="24"/>
                <w:szCs w:val="24"/>
                <w:highlight w:val="none"/>
              </w:rPr>
            </w:pPr>
          </w:p>
        </w:tc>
        <w:tc>
          <w:tcPr>
            <w:tcW w:w="1392" w:type="pct"/>
            <w:vAlign w:val="center"/>
          </w:tcPr>
          <w:p w14:paraId="42E272EE">
            <w:pPr>
              <w:jc w:val="left"/>
              <w:rPr>
                <w:rFonts w:ascii="宋体" w:hAnsi="宋体"/>
                <w:sz w:val="24"/>
                <w:szCs w:val="24"/>
                <w:highlight w:val="none"/>
              </w:rPr>
            </w:pPr>
          </w:p>
        </w:tc>
        <w:tc>
          <w:tcPr>
            <w:tcW w:w="1392" w:type="pct"/>
            <w:vAlign w:val="center"/>
          </w:tcPr>
          <w:p w14:paraId="75E176E9">
            <w:pPr>
              <w:jc w:val="left"/>
              <w:rPr>
                <w:rFonts w:ascii="宋体" w:hAnsi="宋体"/>
                <w:sz w:val="24"/>
                <w:szCs w:val="24"/>
                <w:highlight w:val="none"/>
              </w:rPr>
            </w:pPr>
          </w:p>
        </w:tc>
        <w:tc>
          <w:tcPr>
            <w:tcW w:w="1392" w:type="pct"/>
            <w:vAlign w:val="center"/>
          </w:tcPr>
          <w:p w14:paraId="6A071FC6">
            <w:pPr>
              <w:jc w:val="left"/>
              <w:rPr>
                <w:rFonts w:ascii="宋体" w:hAnsi="宋体"/>
                <w:sz w:val="24"/>
                <w:szCs w:val="24"/>
                <w:highlight w:val="none"/>
              </w:rPr>
            </w:pPr>
          </w:p>
        </w:tc>
      </w:tr>
    </w:tbl>
    <w:p w14:paraId="23A947AD">
      <w:pPr>
        <w:spacing w:line="360" w:lineRule="auto"/>
        <w:jc w:val="left"/>
        <w:rPr>
          <w:rFonts w:asciiTheme="majorEastAsia" w:hAnsiTheme="majorEastAsia" w:eastAsiaTheme="majorEastAsia"/>
          <w:b/>
          <w:sz w:val="24"/>
          <w:szCs w:val="24"/>
          <w:highlight w:val="none"/>
        </w:rPr>
      </w:pPr>
    </w:p>
    <w:p w14:paraId="2B5769AE">
      <w:pPr>
        <w:spacing w:line="360" w:lineRule="auto"/>
        <w:jc w:val="left"/>
        <w:rPr>
          <w:rFonts w:asciiTheme="majorEastAsia" w:hAnsiTheme="majorEastAsia" w:eastAsiaTheme="majorEastAsia"/>
          <w:b/>
          <w:sz w:val="24"/>
          <w:szCs w:val="24"/>
          <w:highlight w:val="none"/>
        </w:rPr>
      </w:pPr>
    </w:p>
    <w:p w14:paraId="190B7741">
      <w:pPr>
        <w:pStyle w:val="62"/>
        <w:rPr>
          <w:highlight w:val="none"/>
        </w:rPr>
      </w:pPr>
    </w:p>
    <w:p w14:paraId="58A25ED9">
      <w:pPr>
        <w:pStyle w:val="62"/>
        <w:rPr>
          <w:highlight w:val="none"/>
        </w:rPr>
      </w:pPr>
    </w:p>
    <w:p w14:paraId="681D965A">
      <w:pPr>
        <w:spacing w:line="360" w:lineRule="auto"/>
        <w:rPr>
          <w:rFonts w:ascii="宋体" w:hAnsi="宋体"/>
          <w:b/>
          <w:color w:val="000000" w:themeColor="text1"/>
          <w:highlight w:val="none"/>
          <w14:textFill>
            <w14:solidFill>
              <w14:schemeClr w14:val="tx1"/>
            </w14:solidFill>
          </w14:textFill>
        </w:rPr>
      </w:pPr>
    </w:p>
    <w:p w14:paraId="521DEDA2">
      <w:pPr>
        <w:spacing w:line="360" w:lineRule="auto"/>
        <w:rPr>
          <w:rFonts w:ascii="宋体" w:hAnsi="宋体"/>
          <w:b/>
          <w:color w:val="000000" w:themeColor="text1"/>
          <w:highlight w:val="none"/>
          <w14:textFill>
            <w14:solidFill>
              <w14:schemeClr w14:val="tx1"/>
            </w14:solidFill>
          </w14:textFill>
        </w:rPr>
      </w:pPr>
    </w:p>
    <w:p w14:paraId="6132521E">
      <w:pPr>
        <w:widowControl/>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br w:type="page"/>
      </w:r>
    </w:p>
    <w:p w14:paraId="628522D0">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八</w:t>
      </w:r>
      <w:r>
        <w:rPr>
          <w:b/>
          <w:color w:val="000000" w:themeColor="text1"/>
          <w:highlight w:val="none"/>
          <w14:textFill>
            <w14:solidFill>
              <w14:schemeClr w14:val="tx1"/>
            </w14:solidFill>
          </w14:textFill>
        </w:rPr>
        <w:t>、响应需要的其他证明文件及材料</w:t>
      </w:r>
    </w:p>
    <w:p w14:paraId="28955E34">
      <w:pPr>
        <w:spacing w:line="360" w:lineRule="auto"/>
        <w:rPr>
          <w:rFonts w:ascii="宋体" w:hAnsi="宋体"/>
          <w:b/>
          <w:color w:val="000000" w:themeColor="text1"/>
          <w:highlight w:val="none"/>
          <w14:textFill>
            <w14:solidFill>
              <w14:schemeClr w14:val="tx1"/>
            </w14:solidFill>
          </w14:textFill>
        </w:rPr>
      </w:pPr>
    </w:p>
    <w:p w14:paraId="054BC62A">
      <w:pPr>
        <w:spacing w:line="360" w:lineRule="auto"/>
        <w:ind w:firstLine="480" w:firstLineChars="200"/>
        <w:jc w:val="left"/>
        <w:rPr>
          <w:rFonts w:ascii="宋体" w:hAnsi="宋体"/>
          <w:sz w:val="24"/>
          <w:szCs w:val="24"/>
          <w:highlight w:val="none"/>
        </w:rPr>
      </w:pPr>
    </w:p>
    <w:p w14:paraId="46FDE17F">
      <w:pPr>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响应需要的其他证明文件及材料（若有）</w:t>
      </w:r>
    </w:p>
    <w:p w14:paraId="14C08D5F">
      <w:pPr>
        <w:pStyle w:val="265"/>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color w:val="000000" w:themeColor="text1"/>
          <w:highlight w:val="none"/>
          <w14:textFill>
            <w14:solidFill>
              <w14:schemeClr w14:val="tx1"/>
            </w14:solidFill>
          </w14:textFill>
        </w:rPr>
        <w:t>附件一、无重大违法记录声明格式</w:t>
      </w:r>
    </w:p>
    <w:p w14:paraId="39FC2CE2">
      <w:pPr>
        <w:spacing w:line="360" w:lineRule="auto"/>
        <w:ind w:firstLine="482" w:firstLineChars="200"/>
        <w:jc w:val="center"/>
        <w:rPr>
          <w:rFonts w:ascii="宋体" w:hAnsi="宋体"/>
          <w:b/>
          <w:bCs/>
          <w:sz w:val="24"/>
          <w:szCs w:val="24"/>
          <w:highlight w:val="none"/>
          <w:lang w:val="en-US" w:eastAsia="zh-CN"/>
        </w:rPr>
      </w:pPr>
    </w:p>
    <w:p w14:paraId="1A52BCDC">
      <w:pPr>
        <w:spacing w:line="360" w:lineRule="auto"/>
        <w:ind w:firstLine="482" w:firstLineChars="200"/>
        <w:jc w:val="center"/>
        <w:rPr>
          <w:rFonts w:ascii="宋体" w:hAnsi="宋体"/>
          <w:b/>
          <w:bCs/>
          <w:sz w:val="24"/>
          <w:szCs w:val="24"/>
          <w:highlight w:val="none"/>
          <w:lang w:val="en-US" w:eastAsia="zh-CN"/>
        </w:rPr>
      </w:pPr>
      <w:r>
        <w:rPr>
          <w:rFonts w:ascii="宋体" w:hAnsi="宋体"/>
          <w:b/>
          <w:bCs/>
          <w:sz w:val="24"/>
          <w:szCs w:val="24"/>
          <w:highlight w:val="none"/>
          <w:lang w:val="en-US" w:eastAsia="zh-CN"/>
        </w:rPr>
        <w:t>无重大违法记录声明</w:t>
      </w:r>
    </w:p>
    <w:p w14:paraId="732406D4">
      <w:pPr>
        <w:spacing w:line="360" w:lineRule="auto"/>
        <w:rPr>
          <w:rFonts w:ascii="宋体" w:hAnsi="宋体"/>
          <w:color w:val="000000" w:themeColor="text1"/>
          <w:highlight w:val="none"/>
          <w14:textFill>
            <w14:solidFill>
              <w14:schemeClr w14:val="tx1"/>
            </w14:solidFill>
          </w14:textFill>
        </w:rPr>
      </w:pPr>
    </w:p>
    <w:p w14:paraId="4826FB16">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1A7B4F7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w:t>
      </w:r>
    </w:p>
    <w:p w14:paraId="07A34A5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参加采购活动前3年内在经营活动中</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没有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（在下划线上如实填写：有或没有）重大违法记录。</w:t>
      </w:r>
    </w:p>
    <w:p w14:paraId="1E68A0F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（说明：所称重大违法记录，是指供应商因违法经营受到刑事处罚或者责令停产停业、吊销许可证或者执照、较大数额罚款等行政处罚。）</w:t>
      </w:r>
    </w:p>
    <w:p w14:paraId="2EF4BD2A">
      <w:pPr>
        <w:spacing w:line="360" w:lineRule="auto"/>
        <w:rPr>
          <w:rFonts w:ascii="宋体" w:hAnsi="宋体" w:cs="宋体"/>
          <w:color w:val="000000" w:themeColor="text1"/>
          <w:sz w:val="24"/>
          <w:szCs w:val="24"/>
          <w:highlight w:val="none"/>
          <w14:textFill>
            <w14:solidFill>
              <w14:schemeClr w14:val="tx1"/>
            </w14:solidFill>
          </w14:textFill>
        </w:rPr>
      </w:pPr>
    </w:p>
    <w:p w14:paraId="7E09B105">
      <w:pPr>
        <w:spacing w:line="360" w:lineRule="auto"/>
        <w:rPr>
          <w:rFonts w:ascii="宋体" w:hAnsi="宋体" w:cs="宋体"/>
          <w:color w:val="000000" w:themeColor="text1"/>
          <w:sz w:val="24"/>
          <w:szCs w:val="24"/>
          <w:highlight w:val="none"/>
          <w14:textFill>
            <w14:solidFill>
              <w14:schemeClr w14:val="tx1"/>
            </w14:solidFill>
          </w14:textFill>
        </w:rPr>
      </w:pPr>
    </w:p>
    <w:p w14:paraId="54D918EE">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声明人（公章）：</w:t>
      </w:r>
    </w:p>
    <w:p w14:paraId="279E5614">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日期：年月日</w:t>
      </w:r>
    </w:p>
    <w:p w14:paraId="70A808B7">
      <w:pPr>
        <w:spacing w:line="360" w:lineRule="auto"/>
        <w:rPr>
          <w:color w:val="000000" w:themeColor="text1"/>
          <w:highlight w:val="none"/>
          <w14:textFill>
            <w14:solidFill>
              <w14:schemeClr w14:val="tx1"/>
            </w14:solidFill>
          </w14:textFill>
        </w:rPr>
      </w:pPr>
    </w:p>
    <w:p w14:paraId="796356DB">
      <w:pPr>
        <w:spacing w:line="360" w:lineRule="auto"/>
        <w:rPr>
          <w:rFonts w:ascii="宋体" w:hAnsi="宋体"/>
          <w:b/>
          <w:color w:val="000000" w:themeColor="text1"/>
          <w:highlight w:val="none"/>
          <w14:textFill>
            <w14:solidFill>
              <w14:schemeClr w14:val="tx1"/>
            </w14:solidFill>
          </w14:textFill>
        </w:rPr>
      </w:pPr>
    </w:p>
    <w:p w14:paraId="7307F9E1">
      <w:pPr>
        <w:pStyle w:val="2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附件二、具备履行合同所必需的设备和专业技术能力的声明格式或证明材料</w:t>
      </w:r>
    </w:p>
    <w:p w14:paraId="140A235A">
      <w:pPr>
        <w:spacing w:line="360" w:lineRule="auto"/>
        <w:ind w:firstLine="482" w:firstLineChars="200"/>
        <w:jc w:val="center"/>
        <w:rPr>
          <w:rFonts w:ascii="宋体" w:hAnsi="宋体"/>
          <w:b/>
          <w:bCs/>
          <w:sz w:val="24"/>
          <w:szCs w:val="24"/>
          <w:highlight w:val="none"/>
          <w:lang w:val="en-US" w:eastAsia="zh-CN"/>
        </w:rPr>
      </w:pPr>
      <w:r>
        <w:rPr>
          <w:rFonts w:ascii="宋体" w:hAnsi="宋体"/>
          <w:b/>
          <w:bCs/>
          <w:sz w:val="24"/>
          <w:szCs w:val="24"/>
          <w:highlight w:val="none"/>
          <w:lang w:val="en-US" w:eastAsia="zh-CN"/>
        </w:rPr>
        <w:t>具备履行合同所必需的设备和专业技术能力的声明</w:t>
      </w:r>
    </w:p>
    <w:p w14:paraId="63FAFBD9">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2E9CB0F7">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4C3DB43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7638976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主要专业技术能力有：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7415EF76">
      <w:pPr>
        <w:spacing w:line="360" w:lineRule="auto"/>
        <w:rPr>
          <w:rFonts w:ascii="宋体" w:hAnsi="宋体" w:cs="宋体"/>
          <w:color w:val="000000" w:themeColor="text1"/>
          <w:sz w:val="24"/>
          <w:highlight w:val="none"/>
          <w14:textFill>
            <w14:solidFill>
              <w14:schemeClr w14:val="tx1"/>
            </w14:solidFill>
          </w14:textFill>
        </w:rPr>
      </w:pPr>
    </w:p>
    <w:p w14:paraId="08906AFF">
      <w:pPr>
        <w:spacing w:line="360" w:lineRule="auto"/>
        <w:rPr>
          <w:rFonts w:ascii="宋体" w:hAnsi="宋体" w:cs="宋体"/>
          <w:color w:val="000000" w:themeColor="text1"/>
          <w:sz w:val="24"/>
          <w:highlight w:val="none"/>
          <w14:textFill>
            <w14:solidFill>
              <w14:schemeClr w14:val="tx1"/>
            </w14:solidFill>
          </w14:textFill>
        </w:rPr>
      </w:pPr>
    </w:p>
    <w:p w14:paraId="2765661F">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声明人（公章）：</w:t>
      </w:r>
    </w:p>
    <w:p w14:paraId="780B708D">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日期：     年    月    日</w:t>
      </w:r>
    </w:p>
    <w:p w14:paraId="5080CFB9">
      <w:pPr>
        <w:pStyle w:val="26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附件三、承诺书</w:t>
      </w:r>
    </w:p>
    <w:p w14:paraId="78ADD939">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致：（采购人）</w:t>
      </w:r>
    </w:p>
    <w:p w14:paraId="40736AED">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我单位（供应商名称）</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承诺：</w:t>
      </w:r>
    </w:p>
    <w:p w14:paraId="26D9CC75">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p>
    <w:p w14:paraId="0C856D7D">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承诺人</w:t>
      </w:r>
      <w:r>
        <w:rPr>
          <w:rFonts w:ascii="Times New Roman" w:hAnsi="Times New Roman"/>
          <w:color w:val="000000" w:themeColor="text1"/>
          <w:sz w:val="24"/>
          <w:highlight w:val="none"/>
          <w14:textFill>
            <w14:solidFill>
              <w14:schemeClr w14:val="tx1"/>
            </w14:solidFill>
          </w14:textFill>
        </w:rPr>
        <w:t>（公章）：</w:t>
      </w:r>
    </w:p>
    <w:p w14:paraId="75C604BC">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日期：    年    月   日</w:t>
      </w:r>
    </w:p>
    <w:p w14:paraId="48B0A691">
      <w:pPr>
        <w:spacing w:line="360" w:lineRule="auto"/>
        <w:rPr>
          <w:highlight w:val="none"/>
        </w:rPr>
      </w:pPr>
    </w:p>
    <w:sectPr>
      <w:footerReference r:id="rId4" w:type="default"/>
      <w:pgSz w:w="11906" w:h="16838"/>
      <w:pgMar w:top="1134" w:right="1134" w:bottom="1134" w:left="1304" w:header="567" w:footer="907"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Noto Serif SC"/>
    <w:panose1 w:val="00000000000000000000"/>
    <w:charset w:val="00"/>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MicrosoftYaHei">
    <w:altName w:val="等线"/>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Verdana-Bold">
    <w:altName w:val="等线"/>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AD19F">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486D9C">
                          <w:pPr>
                            <w:pStyle w:val="2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F486D9C">
                    <w:pPr>
                      <w:pStyle w:val="2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E2D8C">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9E8806E5"/>
    <w:multiLevelType w:val="singleLevel"/>
    <w:tmpl w:val="9E8806E5"/>
    <w:lvl w:ilvl="0" w:tentative="0">
      <w:start w:val="1"/>
      <w:numFmt w:val="decimalEnclosedCircleChinese"/>
      <w:suff w:val="nothing"/>
      <w:lvlText w:val="%1　"/>
      <w:lvlJc w:val="left"/>
      <w:pPr>
        <w:ind w:left="0" w:firstLine="400"/>
      </w:pPr>
      <w:rPr>
        <w:rFonts w:hint="eastAsia"/>
      </w:rPr>
    </w:lvl>
  </w:abstractNum>
  <w:abstractNum w:abstractNumId="11">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2">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3">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4">
    <w:nsid w:val="A9551E3F"/>
    <w:multiLevelType w:val="singleLevel"/>
    <w:tmpl w:val="A9551E3F"/>
    <w:lvl w:ilvl="0" w:tentative="0">
      <w:start w:val="1"/>
      <w:numFmt w:val="chineseCounting"/>
      <w:suff w:val="nothing"/>
      <w:lvlText w:val="%1、"/>
      <w:lvlJc w:val="left"/>
      <w:pPr>
        <w:ind w:left="0" w:firstLine="420"/>
      </w:pPr>
      <w:rPr>
        <w:rFonts w:hint="eastAsia"/>
      </w:rPr>
    </w:lvl>
  </w:abstractNum>
  <w:abstractNum w:abstractNumId="15">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6">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7">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8">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9">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20">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1">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2">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3">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4">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5">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6">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7">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8">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9">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0">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1">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2">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3">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4">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5">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6">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7">
    <w:nsid w:val="11A8E136"/>
    <w:multiLevelType w:val="singleLevel"/>
    <w:tmpl w:val="11A8E136"/>
    <w:lvl w:ilvl="0" w:tentative="0">
      <w:start w:val="1"/>
      <w:numFmt w:val="decimal"/>
      <w:suff w:val="nothing"/>
      <w:lvlText w:val="%1、"/>
      <w:lvlJc w:val="left"/>
    </w:lvl>
  </w:abstractNum>
  <w:abstractNum w:abstractNumId="38">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9">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0">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1">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2">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3">
    <w:nsid w:val="318533B0"/>
    <w:multiLevelType w:val="singleLevel"/>
    <w:tmpl w:val="318533B0"/>
    <w:lvl w:ilvl="0" w:tentative="0">
      <w:start w:val="4"/>
      <w:numFmt w:val="chineseCounting"/>
      <w:suff w:val="space"/>
      <w:lvlText w:val="第%1章"/>
      <w:lvlJc w:val="left"/>
      <w:rPr>
        <w:rFonts w:hint="eastAsia"/>
      </w:rPr>
    </w:lvl>
  </w:abstractNum>
  <w:abstractNum w:abstractNumId="44">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5">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6">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7">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8">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9">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0">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6"/>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2">
    <w:nsid w:val="517BD01A"/>
    <w:multiLevelType w:val="singleLevel"/>
    <w:tmpl w:val="517BD01A"/>
    <w:lvl w:ilvl="0" w:tentative="0">
      <w:start w:val="1"/>
      <w:numFmt w:val="decimalEnclosedCircleChinese"/>
      <w:suff w:val="nothing"/>
      <w:lvlText w:val="%1　"/>
      <w:lvlJc w:val="left"/>
      <w:pPr>
        <w:ind w:left="0" w:firstLine="400"/>
      </w:pPr>
      <w:rPr>
        <w:rFonts w:hint="eastAsia"/>
      </w:rPr>
    </w:lvl>
  </w:abstractNum>
  <w:abstractNum w:abstractNumId="53">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4">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5">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6">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7">
    <w:nsid w:val="64A0FCEA"/>
    <w:multiLevelType w:val="singleLevel"/>
    <w:tmpl w:val="64A0FCEA"/>
    <w:lvl w:ilvl="0" w:tentative="0">
      <w:start w:val="1"/>
      <w:numFmt w:val="decimal"/>
      <w:lvlText w:val="%1."/>
      <w:lvlJc w:val="left"/>
      <w:pPr>
        <w:ind w:left="425" w:hanging="425"/>
      </w:pPr>
      <w:rPr>
        <w:rFonts w:hint="default"/>
      </w:rPr>
    </w:lvl>
  </w:abstractNum>
  <w:abstractNum w:abstractNumId="58">
    <w:nsid w:val="6D354E44"/>
    <w:multiLevelType w:val="multilevel"/>
    <w:tmpl w:val="6D354E44"/>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decimal"/>
      <w:lvlText w:val="%3."/>
      <w:lvlJc w:val="right"/>
      <w:pPr>
        <w:ind w:left="1320" w:hanging="440"/>
      </w:pPr>
      <w:rPr>
        <w:rFonts w:hint="eastAsia"/>
      </w:r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9">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60">
    <w:nsid w:val="70EA017E"/>
    <w:multiLevelType w:val="singleLevel"/>
    <w:tmpl w:val="70EA017E"/>
    <w:lvl w:ilvl="0" w:tentative="0">
      <w:start w:val="1"/>
      <w:numFmt w:val="decimalEnclosedCircleChinese"/>
      <w:suff w:val="nothing"/>
      <w:lvlText w:val="%1　"/>
      <w:lvlJc w:val="left"/>
      <w:pPr>
        <w:ind w:left="0" w:firstLine="400"/>
      </w:pPr>
      <w:rPr>
        <w:rFonts w:hint="eastAsia"/>
      </w:rPr>
    </w:lvl>
  </w:abstractNum>
  <w:abstractNum w:abstractNumId="61">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2">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3">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4">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0"/>
  </w:num>
  <w:num w:numId="2">
    <w:abstractNumId w:val="15"/>
  </w:num>
  <w:num w:numId="3">
    <w:abstractNumId w:val="39"/>
  </w:num>
  <w:num w:numId="4">
    <w:abstractNumId w:val="63"/>
  </w:num>
  <w:num w:numId="5">
    <w:abstractNumId w:val="59"/>
  </w:num>
  <w:num w:numId="6">
    <w:abstractNumId w:val="34"/>
  </w:num>
  <w:num w:numId="7">
    <w:abstractNumId w:val="22"/>
  </w:num>
  <w:num w:numId="8">
    <w:abstractNumId w:val="46"/>
  </w:num>
  <w:num w:numId="9">
    <w:abstractNumId w:val="42"/>
  </w:num>
  <w:num w:numId="10">
    <w:abstractNumId w:val="8"/>
  </w:num>
  <w:num w:numId="11">
    <w:abstractNumId w:val="18"/>
  </w:num>
  <w:num w:numId="12">
    <w:abstractNumId w:val="49"/>
  </w:num>
  <w:num w:numId="13">
    <w:abstractNumId w:val="64"/>
  </w:num>
  <w:num w:numId="14">
    <w:abstractNumId w:val="13"/>
  </w:num>
  <w:num w:numId="15">
    <w:abstractNumId w:val="61"/>
  </w:num>
  <w:num w:numId="16">
    <w:abstractNumId w:val="41"/>
  </w:num>
  <w:num w:numId="17">
    <w:abstractNumId w:val="56"/>
  </w:num>
  <w:num w:numId="18">
    <w:abstractNumId w:val="44"/>
  </w:num>
  <w:num w:numId="19">
    <w:abstractNumId w:val="33"/>
  </w:num>
  <w:num w:numId="20">
    <w:abstractNumId w:val="38"/>
  </w:num>
  <w:num w:numId="21">
    <w:abstractNumId w:val="16"/>
  </w:num>
  <w:num w:numId="22">
    <w:abstractNumId w:val="26"/>
  </w:num>
  <w:num w:numId="23">
    <w:abstractNumId w:val="32"/>
  </w:num>
  <w:num w:numId="24">
    <w:abstractNumId w:val="47"/>
  </w:num>
  <w:num w:numId="25">
    <w:abstractNumId w:val="28"/>
  </w:num>
  <w:num w:numId="26">
    <w:abstractNumId w:val="6"/>
  </w:num>
  <w:num w:numId="27">
    <w:abstractNumId w:val="48"/>
  </w:num>
  <w:num w:numId="28">
    <w:abstractNumId w:val="17"/>
  </w:num>
  <w:num w:numId="29">
    <w:abstractNumId w:val="2"/>
  </w:num>
  <w:num w:numId="30">
    <w:abstractNumId w:val="51"/>
  </w:num>
  <w:num w:numId="31">
    <w:abstractNumId w:val="45"/>
  </w:num>
  <w:num w:numId="32">
    <w:abstractNumId w:val="35"/>
  </w:num>
  <w:num w:numId="33">
    <w:abstractNumId w:val="7"/>
  </w:num>
  <w:num w:numId="34">
    <w:abstractNumId w:val="36"/>
  </w:num>
  <w:num w:numId="35">
    <w:abstractNumId w:val="54"/>
  </w:num>
  <w:num w:numId="36">
    <w:abstractNumId w:val="53"/>
  </w:num>
  <w:num w:numId="37">
    <w:abstractNumId w:val="3"/>
  </w:num>
  <w:num w:numId="38">
    <w:abstractNumId w:val="29"/>
  </w:num>
  <w:num w:numId="39">
    <w:abstractNumId w:val="55"/>
  </w:num>
  <w:num w:numId="40">
    <w:abstractNumId w:val="25"/>
  </w:num>
  <w:num w:numId="41">
    <w:abstractNumId w:val="9"/>
  </w:num>
  <w:num w:numId="42">
    <w:abstractNumId w:val="4"/>
  </w:num>
  <w:num w:numId="43">
    <w:abstractNumId w:val="11"/>
  </w:num>
  <w:num w:numId="44">
    <w:abstractNumId w:val="30"/>
  </w:num>
  <w:num w:numId="45">
    <w:abstractNumId w:val="19"/>
  </w:num>
  <w:num w:numId="46">
    <w:abstractNumId w:val="27"/>
  </w:num>
  <w:num w:numId="47">
    <w:abstractNumId w:val="20"/>
  </w:num>
  <w:num w:numId="48">
    <w:abstractNumId w:val="62"/>
  </w:num>
  <w:num w:numId="49">
    <w:abstractNumId w:val="21"/>
  </w:num>
  <w:num w:numId="50">
    <w:abstractNumId w:val="24"/>
  </w:num>
  <w:num w:numId="51">
    <w:abstractNumId w:val="1"/>
  </w:num>
  <w:num w:numId="52">
    <w:abstractNumId w:val="5"/>
  </w:num>
  <w:num w:numId="53">
    <w:abstractNumId w:val="43"/>
  </w:num>
  <w:num w:numId="54">
    <w:abstractNumId w:val="14"/>
  </w:num>
  <w:num w:numId="55">
    <w:abstractNumId w:val="58"/>
  </w:num>
  <w:num w:numId="56">
    <w:abstractNumId w:val="60"/>
  </w:num>
  <w:num w:numId="57">
    <w:abstractNumId w:val="52"/>
  </w:num>
  <w:num w:numId="58">
    <w:abstractNumId w:val="10"/>
  </w:num>
  <w:num w:numId="59">
    <w:abstractNumId w:val="57"/>
  </w:num>
  <w:num w:numId="60">
    <w:abstractNumId w:val="37"/>
  </w:num>
  <w:num w:numId="61">
    <w:abstractNumId w:val="0"/>
  </w:num>
  <w:num w:numId="62">
    <w:abstractNumId w:val="40"/>
  </w:num>
  <w:num w:numId="63">
    <w:abstractNumId w:val="12"/>
  </w:num>
  <w:num w:numId="64">
    <w:abstractNumId w:val="31"/>
  </w:num>
  <w:num w:numId="6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wZWYxZmExZDk2Y2ZjNTc0YzI3ZjU3MzQ3MmUzOTIifQ=="/>
    <w:docVar w:name="KSO_WPS_MARK_KEY" w:val="ef9fe400-f47f-4ebd-bf0f-4af4f24c4f78"/>
  </w:docVars>
  <w:rsids>
    <w:rsidRoot w:val="001607E5"/>
    <w:rsid w:val="0000641F"/>
    <w:rsid w:val="00010550"/>
    <w:rsid w:val="000114EC"/>
    <w:rsid w:val="00020EAE"/>
    <w:rsid w:val="00032AFC"/>
    <w:rsid w:val="000400B5"/>
    <w:rsid w:val="00055B15"/>
    <w:rsid w:val="000603A8"/>
    <w:rsid w:val="00072371"/>
    <w:rsid w:val="0007655A"/>
    <w:rsid w:val="00077B10"/>
    <w:rsid w:val="0008213F"/>
    <w:rsid w:val="000A3089"/>
    <w:rsid w:val="000A5DE6"/>
    <w:rsid w:val="000A61ED"/>
    <w:rsid w:val="000A6973"/>
    <w:rsid w:val="000B5A27"/>
    <w:rsid w:val="000C2BA5"/>
    <w:rsid w:val="000C4F86"/>
    <w:rsid w:val="000E0C2D"/>
    <w:rsid w:val="000F5611"/>
    <w:rsid w:val="001029EB"/>
    <w:rsid w:val="00112E04"/>
    <w:rsid w:val="00120A4B"/>
    <w:rsid w:val="00140B1D"/>
    <w:rsid w:val="00141BEC"/>
    <w:rsid w:val="0015261B"/>
    <w:rsid w:val="0015779C"/>
    <w:rsid w:val="001607E5"/>
    <w:rsid w:val="001646F3"/>
    <w:rsid w:val="00165164"/>
    <w:rsid w:val="00170BE0"/>
    <w:rsid w:val="00180F91"/>
    <w:rsid w:val="00193608"/>
    <w:rsid w:val="00195606"/>
    <w:rsid w:val="001A6483"/>
    <w:rsid w:val="001B4835"/>
    <w:rsid w:val="001C11B1"/>
    <w:rsid w:val="001D0594"/>
    <w:rsid w:val="001D6955"/>
    <w:rsid w:val="001D7CE8"/>
    <w:rsid w:val="001E1C4B"/>
    <w:rsid w:val="001E28D6"/>
    <w:rsid w:val="001E28E2"/>
    <w:rsid w:val="001F355D"/>
    <w:rsid w:val="00203B11"/>
    <w:rsid w:val="0021068C"/>
    <w:rsid w:val="00210AEA"/>
    <w:rsid w:val="00221000"/>
    <w:rsid w:val="002213ED"/>
    <w:rsid w:val="00221EF9"/>
    <w:rsid w:val="00222A23"/>
    <w:rsid w:val="00226D16"/>
    <w:rsid w:val="002302C2"/>
    <w:rsid w:val="00234822"/>
    <w:rsid w:val="0024127A"/>
    <w:rsid w:val="002469C2"/>
    <w:rsid w:val="00252218"/>
    <w:rsid w:val="00253E4C"/>
    <w:rsid w:val="00266824"/>
    <w:rsid w:val="0026714F"/>
    <w:rsid w:val="00270DD7"/>
    <w:rsid w:val="00271038"/>
    <w:rsid w:val="00273426"/>
    <w:rsid w:val="00284A70"/>
    <w:rsid w:val="0028542D"/>
    <w:rsid w:val="002A1655"/>
    <w:rsid w:val="002A2707"/>
    <w:rsid w:val="002A3A54"/>
    <w:rsid w:val="002D20E2"/>
    <w:rsid w:val="002D223F"/>
    <w:rsid w:val="002D6BFF"/>
    <w:rsid w:val="002D6DD1"/>
    <w:rsid w:val="002D7D8E"/>
    <w:rsid w:val="002E05B3"/>
    <w:rsid w:val="002E1847"/>
    <w:rsid w:val="002F2FEE"/>
    <w:rsid w:val="00300310"/>
    <w:rsid w:val="0030132B"/>
    <w:rsid w:val="00301983"/>
    <w:rsid w:val="0030478B"/>
    <w:rsid w:val="00304B99"/>
    <w:rsid w:val="00307A95"/>
    <w:rsid w:val="0031316D"/>
    <w:rsid w:val="00313589"/>
    <w:rsid w:val="003269B7"/>
    <w:rsid w:val="003345C0"/>
    <w:rsid w:val="003375D6"/>
    <w:rsid w:val="00337CC0"/>
    <w:rsid w:val="00341E4E"/>
    <w:rsid w:val="00346C93"/>
    <w:rsid w:val="00351F0B"/>
    <w:rsid w:val="003567D1"/>
    <w:rsid w:val="00361D2E"/>
    <w:rsid w:val="0039013E"/>
    <w:rsid w:val="00395A8A"/>
    <w:rsid w:val="003A766D"/>
    <w:rsid w:val="003B7A90"/>
    <w:rsid w:val="003C37E0"/>
    <w:rsid w:val="003C7793"/>
    <w:rsid w:val="003D0883"/>
    <w:rsid w:val="003D2072"/>
    <w:rsid w:val="003D59C2"/>
    <w:rsid w:val="003E7510"/>
    <w:rsid w:val="0040250A"/>
    <w:rsid w:val="00402752"/>
    <w:rsid w:val="00410DB6"/>
    <w:rsid w:val="00411A2A"/>
    <w:rsid w:val="00421CCE"/>
    <w:rsid w:val="00423B77"/>
    <w:rsid w:val="00425339"/>
    <w:rsid w:val="00425CED"/>
    <w:rsid w:val="004526E8"/>
    <w:rsid w:val="0046283F"/>
    <w:rsid w:val="00464986"/>
    <w:rsid w:val="00465C30"/>
    <w:rsid w:val="00471CD0"/>
    <w:rsid w:val="00473E69"/>
    <w:rsid w:val="00477FD9"/>
    <w:rsid w:val="00484E24"/>
    <w:rsid w:val="00486895"/>
    <w:rsid w:val="004A2C5E"/>
    <w:rsid w:val="004A5AF1"/>
    <w:rsid w:val="004A68BE"/>
    <w:rsid w:val="004B035C"/>
    <w:rsid w:val="004B4FB8"/>
    <w:rsid w:val="004B6B53"/>
    <w:rsid w:val="004E4EF1"/>
    <w:rsid w:val="004E7292"/>
    <w:rsid w:val="004F11AB"/>
    <w:rsid w:val="004F692A"/>
    <w:rsid w:val="00503F76"/>
    <w:rsid w:val="00510283"/>
    <w:rsid w:val="005114F3"/>
    <w:rsid w:val="0051245A"/>
    <w:rsid w:val="00520001"/>
    <w:rsid w:val="005277EE"/>
    <w:rsid w:val="0053715F"/>
    <w:rsid w:val="00553C9B"/>
    <w:rsid w:val="00553E77"/>
    <w:rsid w:val="00555045"/>
    <w:rsid w:val="00564291"/>
    <w:rsid w:val="00573039"/>
    <w:rsid w:val="00581E47"/>
    <w:rsid w:val="00585734"/>
    <w:rsid w:val="005A379C"/>
    <w:rsid w:val="005A4C18"/>
    <w:rsid w:val="005A7CDA"/>
    <w:rsid w:val="005A7EF9"/>
    <w:rsid w:val="005B2948"/>
    <w:rsid w:val="005B3758"/>
    <w:rsid w:val="005B5295"/>
    <w:rsid w:val="005B6EF6"/>
    <w:rsid w:val="005C5753"/>
    <w:rsid w:val="005C62CC"/>
    <w:rsid w:val="005C6410"/>
    <w:rsid w:val="005D3AD4"/>
    <w:rsid w:val="005D3D4E"/>
    <w:rsid w:val="005D6EF2"/>
    <w:rsid w:val="005D6F5A"/>
    <w:rsid w:val="005D7B60"/>
    <w:rsid w:val="005F107E"/>
    <w:rsid w:val="00612677"/>
    <w:rsid w:val="006178A1"/>
    <w:rsid w:val="0062629B"/>
    <w:rsid w:val="006339E3"/>
    <w:rsid w:val="00636A37"/>
    <w:rsid w:val="0064295D"/>
    <w:rsid w:val="00662F68"/>
    <w:rsid w:val="0066459E"/>
    <w:rsid w:val="00667126"/>
    <w:rsid w:val="00670EFA"/>
    <w:rsid w:val="006716EA"/>
    <w:rsid w:val="00680EDD"/>
    <w:rsid w:val="006A146B"/>
    <w:rsid w:val="006A66A9"/>
    <w:rsid w:val="006A6D9D"/>
    <w:rsid w:val="006C4F85"/>
    <w:rsid w:val="006D41A7"/>
    <w:rsid w:val="006D79F2"/>
    <w:rsid w:val="006D7E45"/>
    <w:rsid w:val="006E0DF4"/>
    <w:rsid w:val="006E3A37"/>
    <w:rsid w:val="006E4E08"/>
    <w:rsid w:val="006F395E"/>
    <w:rsid w:val="00700358"/>
    <w:rsid w:val="0070603D"/>
    <w:rsid w:val="00710EF7"/>
    <w:rsid w:val="0073289E"/>
    <w:rsid w:val="00736626"/>
    <w:rsid w:val="00745D46"/>
    <w:rsid w:val="00751351"/>
    <w:rsid w:val="007530ED"/>
    <w:rsid w:val="00754D51"/>
    <w:rsid w:val="00764880"/>
    <w:rsid w:val="0076676B"/>
    <w:rsid w:val="007745E1"/>
    <w:rsid w:val="007862B4"/>
    <w:rsid w:val="00794443"/>
    <w:rsid w:val="00794A1C"/>
    <w:rsid w:val="00794F67"/>
    <w:rsid w:val="007A1BC7"/>
    <w:rsid w:val="007A3470"/>
    <w:rsid w:val="007A76D2"/>
    <w:rsid w:val="007B3277"/>
    <w:rsid w:val="007B7E2B"/>
    <w:rsid w:val="007C104D"/>
    <w:rsid w:val="007C7C89"/>
    <w:rsid w:val="007C7E0C"/>
    <w:rsid w:val="007D74D8"/>
    <w:rsid w:val="007E0FFC"/>
    <w:rsid w:val="007E1D06"/>
    <w:rsid w:val="007E3C98"/>
    <w:rsid w:val="007F5A7E"/>
    <w:rsid w:val="00805042"/>
    <w:rsid w:val="00813CC4"/>
    <w:rsid w:val="00815199"/>
    <w:rsid w:val="00830D14"/>
    <w:rsid w:val="00831BEC"/>
    <w:rsid w:val="00833B18"/>
    <w:rsid w:val="00834261"/>
    <w:rsid w:val="0083608B"/>
    <w:rsid w:val="0084180E"/>
    <w:rsid w:val="00842C4C"/>
    <w:rsid w:val="008475AF"/>
    <w:rsid w:val="00851A4B"/>
    <w:rsid w:val="008537FF"/>
    <w:rsid w:val="00857996"/>
    <w:rsid w:val="008600B1"/>
    <w:rsid w:val="00871637"/>
    <w:rsid w:val="008750CF"/>
    <w:rsid w:val="00882C5C"/>
    <w:rsid w:val="0088428D"/>
    <w:rsid w:val="008B0334"/>
    <w:rsid w:val="008B191D"/>
    <w:rsid w:val="008B57CF"/>
    <w:rsid w:val="008C5D36"/>
    <w:rsid w:val="008D2521"/>
    <w:rsid w:val="008E14D6"/>
    <w:rsid w:val="008E7262"/>
    <w:rsid w:val="008F157A"/>
    <w:rsid w:val="008F15BA"/>
    <w:rsid w:val="00903A81"/>
    <w:rsid w:val="00921E54"/>
    <w:rsid w:val="00931F61"/>
    <w:rsid w:val="009378AD"/>
    <w:rsid w:val="009378E7"/>
    <w:rsid w:val="009408C8"/>
    <w:rsid w:val="00944C53"/>
    <w:rsid w:val="009465DD"/>
    <w:rsid w:val="009479A2"/>
    <w:rsid w:val="00953E1D"/>
    <w:rsid w:val="00973A28"/>
    <w:rsid w:val="009936D4"/>
    <w:rsid w:val="00995FCA"/>
    <w:rsid w:val="00996232"/>
    <w:rsid w:val="009A03A3"/>
    <w:rsid w:val="009A0C15"/>
    <w:rsid w:val="009A33F5"/>
    <w:rsid w:val="009A6545"/>
    <w:rsid w:val="009B3A72"/>
    <w:rsid w:val="009B4219"/>
    <w:rsid w:val="009B7079"/>
    <w:rsid w:val="009C051A"/>
    <w:rsid w:val="009C05D2"/>
    <w:rsid w:val="009C48C8"/>
    <w:rsid w:val="009D2587"/>
    <w:rsid w:val="009D2D7C"/>
    <w:rsid w:val="009D4E0C"/>
    <w:rsid w:val="009D6207"/>
    <w:rsid w:val="009D7CCA"/>
    <w:rsid w:val="009E4419"/>
    <w:rsid w:val="009F4E50"/>
    <w:rsid w:val="00A062C2"/>
    <w:rsid w:val="00A07524"/>
    <w:rsid w:val="00A14355"/>
    <w:rsid w:val="00A14A46"/>
    <w:rsid w:val="00A21DE4"/>
    <w:rsid w:val="00A26B87"/>
    <w:rsid w:val="00A3056A"/>
    <w:rsid w:val="00A40800"/>
    <w:rsid w:val="00A422CB"/>
    <w:rsid w:val="00A45515"/>
    <w:rsid w:val="00A5032B"/>
    <w:rsid w:val="00A53229"/>
    <w:rsid w:val="00A628B2"/>
    <w:rsid w:val="00A62B46"/>
    <w:rsid w:val="00A67E2D"/>
    <w:rsid w:val="00A80CEF"/>
    <w:rsid w:val="00A84602"/>
    <w:rsid w:val="00A9334D"/>
    <w:rsid w:val="00AA28F4"/>
    <w:rsid w:val="00AA3CA0"/>
    <w:rsid w:val="00AC74E8"/>
    <w:rsid w:val="00AC7581"/>
    <w:rsid w:val="00AD2769"/>
    <w:rsid w:val="00AD78A3"/>
    <w:rsid w:val="00AE00DC"/>
    <w:rsid w:val="00AF078D"/>
    <w:rsid w:val="00AF32F0"/>
    <w:rsid w:val="00B03987"/>
    <w:rsid w:val="00B04449"/>
    <w:rsid w:val="00B1285D"/>
    <w:rsid w:val="00B13547"/>
    <w:rsid w:val="00B2311B"/>
    <w:rsid w:val="00B235A5"/>
    <w:rsid w:val="00B24726"/>
    <w:rsid w:val="00B256C9"/>
    <w:rsid w:val="00B274DD"/>
    <w:rsid w:val="00B308BD"/>
    <w:rsid w:val="00B32CF6"/>
    <w:rsid w:val="00B33E55"/>
    <w:rsid w:val="00B346F0"/>
    <w:rsid w:val="00B37DED"/>
    <w:rsid w:val="00B47858"/>
    <w:rsid w:val="00B52F92"/>
    <w:rsid w:val="00B57769"/>
    <w:rsid w:val="00B57FFC"/>
    <w:rsid w:val="00B61499"/>
    <w:rsid w:val="00B61F71"/>
    <w:rsid w:val="00B630AF"/>
    <w:rsid w:val="00B64753"/>
    <w:rsid w:val="00B71C61"/>
    <w:rsid w:val="00B73193"/>
    <w:rsid w:val="00B733C1"/>
    <w:rsid w:val="00B817F0"/>
    <w:rsid w:val="00B94571"/>
    <w:rsid w:val="00B96B3B"/>
    <w:rsid w:val="00B97D58"/>
    <w:rsid w:val="00BA1051"/>
    <w:rsid w:val="00BA6126"/>
    <w:rsid w:val="00BA76DF"/>
    <w:rsid w:val="00BD0A88"/>
    <w:rsid w:val="00BE2A0F"/>
    <w:rsid w:val="00C055FA"/>
    <w:rsid w:val="00C113FA"/>
    <w:rsid w:val="00C16ECB"/>
    <w:rsid w:val="00C17B43"/>
    <w:rsid w:val="00C30720"/>
    <w:rsid w:val="00C34208"/>
    <w:rsid w:val="00C377BA"/>
    <w:rsid w:val="00C63349"/>
    <w:rsid w:val="00C674FF"/>
    <w:rsid w:val="00C71F96"/>
    <w:rsid w:val="00C752D4"/>
    <w:rsid w:val="00C80F2D"/>
    <w:rsid w:val="00C9393E"/>
    <w:rsid w:val="00C954C2"/>
    <w:rsid w:val="00CA13FC"/>
    <w:rsid w:val="00CB199D"/>
    <w:rsid w:val="00CC1675"/>
    <w:rsid w:val="00CC25B4"/>
    <w:rsid w:val="00CC3BA0"/>
    <w:rsid w:val="00CD635D"/>
    <w:rsid w:val="00CE3089"/>
    <w:rsid w:val="00CE3D61"/>
    <w:rsid w:val="00CF13FB"/>
    <w:rsid w:val="00CF4A40"/>
    <w:rsid w:val="00D04E69"/>
    <w:rsid w:val="00D076F3"/>
    <w:rsid w:val="00D16694"/>
    <w:rsid w:val="00D20058"/>
    <w:rsid w:val="00D21E37"/>
    <w:rsid w:val="00D223FB"/>
    <w:rsid w:val="00D225D7"/>
    <w:rsid w:val="00D22F68"/>
    <w:rsid w:val="00D242FD"/>
    <w:rsid w:val="00D305CE"/>
    <w:rsid w:val="00D3282E"/>
    <w:rsid w:val="00D40340"/>
    <w:rsid w:val="00D42DE8"/>
    <w:rsid w:val="00D47A7B"/>
    <w:rsid w:val="00D51672"/>
    <w:rsid w:val="00D54978"/>
    <w:rsid w:val="00D55695"/>
    <w:rsid w:val="00D56795"/>
    <w:rsid w:val="00D62C19"/>
    <w:rsid w:val="00D70416"/>
    <w:rsid w:val="00D7063B"/>
    <w:rsid w:val="00D72C60"/>
    <w:rsid w:val="00D73674"/>
    <w:rsid w:val="00D82857"/>
    <w:rsid w:val="00D8640E"/>
    <w:rsid w:val="00D940AE"/>
    <w:rsid w:val="00D97143"/>
    <w:rsid w:val="00DA1657"/>
    <w:rsid w:val="00DA782A"/>
    <w:rsid w:val="00DB0A08"/>
    <w:rsid w:val="00DB0DA7"/>
    <w:rsid w:val="00DB2D58"/>
    <w:rsid w:val="00DC5F7F"/>
    <w:rsid w:val="00DC6097"/>
    <w:rsid w:val="00DF7EDA"/>
    <w:rsid w:val="00E007CD"/>
    <w:rsid w:val="00E00FE0"/>
    <w:rsid w:val="00E067E2"/>
    <w:rsid w:val="00E14F6D"/>
    <w:rsid w:val="00E15200"/>
    <w:rsid w:val="00E20604"/>
    <w:rsid w:val="00E2102F"/>
    <w:rsid w:val="00E32E7E"/>
    <w:rsid w:val="00E430F5"/>
    <w:rsid w:val="00E447B2"/>
    <w:rsid w:val="00E45BF0"/>
    <w:rsid w:val="00E516F5"/>
    <w:rsid w:val="00E62155"/>
    <w:rsid w:val="00E65A28"/>
    <w:rsid w:val="00E677D7"/>
    <w:rsid w:val="00E678A2"/>
    <w:rsid w:val="00E75B0C"/>
    <w:rsid w:val="00E807AE"/>
    <w:rsid w:val="00E839D7"/>
    <w:rsid w:val="00E85EB0"/>
    <w:rsid w:val="00E919E1"/>
    <w:rsid w:val="00E91B32"/>
    <w:rsid w:val="00E9364A"/>
    <w:rsid w:val="00E93C55"/>
    <w:rsid w:val="00EB2111"/>
    <w:rsid w:val="00ED420B"/>
    <w:rsid w:val="00ED4B05"/>
    <w:rsid w:val="00ED5683"/>
    <w:rsid w:val="00EE1746"/>
    <w:rsid w:val="00EF0FFC"/>
    <w:rsid w:val="00EF2007"/>
    <w:rsid w:val="00F00AEA"/>
    <w:rsid w:val="00F04008"/>
    <w:rsid w:val="00F05CD2"/>
    <w:rsid w:val="00F1154C"/>
    <w:rsid w:val="00F14CAE"/>
    <w:rsid w:val="00F17DC1"/>
    <w:rsid w:val="00F22C8D"/>
    <w:rsid w:val="00F24E2C"/>
    <w:rsid w:val="00F309E3"/>
    <w:rsid w:val="00F31D2D"/>
    <w:rsid w:val="00F31F12"/>
    <w:rsid w:val="00F352C0"/>
    <w:rsid w:val="00F364E1"/>
    <w:rsid w:val="00F37D84"/>
    <w:rsid w:val="00F410CF"/>
    <w:rsid w:val="00F6031B"/>
    <w:rsid w:val="00F675BD"/>
    <w:rsid w:val="00F94E49"/>
    <w:rsid w:val="00FA066C"/>
    <w:rsid w:val="00FA08FD"/>
    <w:rsid w:val="00FD12B6"/>
    <w:rsid w:val="00FD3539"/>
    <w:rsid w:val="00FE456B"/>
    <w:rsid w:val="00FF3C15"/>
    <w:rsid w:val="00FF54B5"/>
    <w:rsid w:val="00FF70FB"/>
    <w:rsid w:val="00FF7ADF"/>
    <w:rsid w:val="012B64AF"/>
    <w:rsid w:val="012D66CB"/>
    <w:rsid w:val="018308D6"/>
    <w:rsid w:val="01933CA1"/>
    <w:rsid w:val="01933E55"/>
    <w:rsid w:val="01BF6469"/>
    <w:rsid w:val="025F09F0"/>
    <w:rsid w:val="027C6AB9"/>
    <w:rsid w:val="02A106F2"/>
    <w:rsid w:val="02D84414"/>
    <w:rsid w:val="02DF21EF"/>
    <w:rsid w:val="030A427C"/>
    <w:rsid w:val="037B196F"/>
    <w:rsid w:val="04201EC7"/>
    <w:rsid w:val="04277E06"/>
    <w:rsid w:val="043D4E77"/>
    <w:rsid w:val="045046FF"/>
    <w:rsid w:val="046D17C2"/>
    <w:rsid w:val="047E36A9"/>
    <w:rsid w:val="047F24B6"/>
    <w:rsid w:val="04943389"/>
    <w:rsid w:val="04D37589"/>
    <w:rsid w:val="055E6E53"/>
    <w:rsid w:val="057069E3"/>
    <w:rsid w:val="05CB3586"/>
    <w:rsid w:val="060D10D2"/>
    <w:rsid w:val="060F7A29"/>
    <w:rsid w:val="065A3ABE"/>
    <w:rsid w:val="066C72D7"/>
    <w:rsid w:val="070D3E84"/>
    <w:rsid w:val="0727545E"/>
    <w:rsid w:val="077741FC"/>
    <w:rsid w:val="077F1302"/>
    <w:rsid w:val="07B76CEE"/>
    <w:rsid w:val="07EF7321"/>
    <w:rsid w:val="080539AF"/>
    <w:rsid w:val="083214A2"/>
    <w:rsid w:val="08534C69"/>
    <w:rsid w:val="085A6539"/>
    <w:rsid w:val="086A2D1A"/>
    <w:rsid w:val="08823813"/>
    <w:rsid w:val="08901356"/>
    <w:rsid w:val="08A40BE4"/>
    <w:rsid w:val="08B07D72"/>
    <w:rsid w:val="08D77648"/>
    <w:rsid w:val="090E36BE"/>
    <w:rsid w:val="0913139D"/>
    <w:rsid w:val="091D123B"/>
    <w:rsid w:val="09684681"/>
    <w:rsid w:val="096B4234"/>
    <w:rsid w:val="098053F7"/>
    <w:rsid w:val="09865C52"/>
    <w:rsid w:val="09CE51B6"/>
    <w:rsid w:val="0A1318AA"/>
    <w:rsid w:val="0A1554BB"/>
    <w:rsid w:val="0A170B9C"/>
    <w:rsid w:val="0A1D4625"/>
    <w:rsid w:val="0A702F25"/>
    <w:rsid w:val="0ABE0FEF"/>
    <w:rsid w:val="0B0D419A"/>
    <w:rsid w:val="0BA02DB5"/>
    <w:rsid w:val="0BAA1044"/>
    <w:rsid w:val="0C06116B"/>
    <w:rsid w:val="0C9534E4"/>
    <w:rsid w:val="0CAD1F59"/>
    <w:rsid w:val="0CB1622C"/>
    <w:rsid w:val="0D4B59D5"/>
    <w:rsid w:val="0D6D057B"/>
    <w:rsid w:val="0D8B0A48"/>
    <w:rsid w:val="0DBD1476"/>
    <w:rsid w:val="0DC64FDA"/>
    <w:rsid w:val="0DE27CEE"/>
    <w:rsid w:val="0DE503DD"/>
    <w:rsid w:val="0E5626EA"/>
    <w:rsid w:val="0E5A28FE"/>
    <w:rsid w:val="0EE92F84"/>
    <w:rsid w:val="0EF9321E"/>
    <w:rsid w:val="0EFA6269"/>
    <w:rsid w:val="0F040A6B"/>
    <w:rsid w:val="0F3330FE"/>
    <w:rsid w:val="0F944C2D"/>
    <w:rsid w:val="0FD50659"/>
    <w:rsid w:val="0FE32D76"/>
    <w:rsid w:val="0FE50224"/>
    <w:rsid w:val="100B3A11"/>
    <w:rsid w:val="1015640E"/>
    <w:rsid w:val="10207B26"/>
    <w:rsid w:val="103E3C74"/>
    <w:rsid w:val="104430E9"/>
    <w:rsid w:val="106D43EE"/>
    <w:rsid w:val="10AF0EAA"/>
    <w:rsid w:val="10AF7A18"/>
    <w:rsid w:val="10E904CB"/>
    <w:rsid w:val="10F10F73"/>
    <w:rsid w:val="1101240C"/>
    <w:rsid w:val="11191AC1"/>
    <w:rsid w:val="112C69A3"/>
    <w:rsid w:val="11755E44"/>
    <w:rsid w:val="119D6FA6"/>
    <w:rsid w:val="11ED31A7"/>
    <w:rsid w:val="1222375D"/>
    <w:rsid w:val="124A36D5"/>
    <w:rsid w:val="125E02D2"/>
    <w:rsid w:val="12721277"/>
    <w:rsid w:val="12913C7C"/>
    <w:rsid w:val="12A83E03"/>
    <w:rsid w:val="12B979DD"/>
    <w:rsid w:val="12CA4B9C"/>
    <w:rsid w:val="12D06EB6"/>
    <w:rsid w:val="12DA4940"/>
    <w:rsid w:val="130726B9"/>
    <w:rsid w:val="134358DA"/>
    <w:rsid w:val="1345230E"/>
    <w:rsid w:val="13544F51"/>
    <w:rsid w:val="13893F31"/>
    <w:rsid w:val="13B8520A"/>
    <w:rsid w:val="13F84916"/>
    <w:rsid w:val="13F953EE"/>
    <w:rsid w:val="14203E74"/>
    <w:rsid w:val="143943D3"/>
    <w:rsid w:val="143C0CA7"/>
    <w:rsid w:val="14B52807"/>
    <w:rsid w:val="14BF7D76"/>
    <w:rsid w:val="152710CF"/>
    <w:rsid w:val="15284D87"/>
    <w:rsid w:val="15365ECB"/>
    <w:rsid w:val="15602773"/>
    <w:rsid w:val="15B33C35"/>
    <w:rsid w:val="15B72662"/>
    <w:rsid w:val="160A26DF"/>
    <w:rsid w:val="165027E8"/>
    <w:rsid w:val="16646293"/>
    <w:rsid w:val="16893CA2"/>
    <w:rsid w:val="16A14DF1"/>
    <w:rsid w:val="17163A31"/>
    <w:rsid w:val="1720639D"/>
    <w:rsid w:val="17463B96"/>
    <w:rsid w:val="177B5642"/>
    <w:rsid w:val="18056F1E"/>
    <w:rsid w:val="18824714"/>
    <w:rsid w:val="18AE6841"/>
    <w:rsid w:val="18BA206E"/>
    <w:rsid w:val="18C539B6"/>
    <w:rsid w:val="18E611E1"/>
    <w:rsid w:val="19063631"/>
    <w:rsid w:val="19230A2E"/>
    <w:rsid w:val="193C6E2E"/>
    <w:rsid w:val="1951749F"/>
    <w:rsid w:val="1959610D"/>
    <w:rsid w:val="19933EEE"/>
    <w:rsid w:val="19CB13F6"/>
    <w:rsid w:val="19CF1C75"/>
    <w:rsid w:val="19E55985"/>
    <w:rsid w:val="19F82467"/>
    <w:rsid w:val="19F85670"/>
    <w:rsid w:val="1A0836F9"/>
    <w:rsid w:val="1A4426FE"/>
    <w:rsid w:val="1A5852A5"/>
    <w:rsid w:val="1A6C60CD"/>
    <w:rsid w:val="1A875FC6"/>
    <w:rsid w:val="1B107F9F"/>
    <w:rsid w:val="1B1875CE"/>
    <w:rsid w:val="1B835B95"/>
    <w:rsid w:val="1BA842D2"/>
    <w:rsid w:val="1BCA6B98"/>
    <w:rsid w:val="1BCD48DA"/>
    <w:rsid w:val="1C8E057A"/>
    <w:rsid w:val="1CA11867"/>
    <w:rsid w:val="1CBA19FF"/>
    <w:rsid w:val="1D1A3B4F"/>
    <w:rsid w:val="1D2422D8"/>
    <w:rsid w:val="1D7F5DED"/>
    <w:rsid w:val="1D88230D"/>
    <w:rsid w:val="1DAC0C4B"/>
    <w:rsid w:val="1DD23A28"/>
    <w:rsid w:val="1E036392"/>
    <w:rsid w:val="1E4F15D7"/>
    <w:rsid w:val="1E4F59CE"/>
    <w:rsid w:val="1E8B1950"/>
    <w:rsid w:val="1E9D5752"/>
    <w:rsid w:val="1EA60F0C"/>
    <w:rsid w:val="1EBA1146"/>
    <w:rsid w:val="1EF63F47"/>
    <w:rsid w:val="1F1C595D"/>
    <w:rsid w:val="1F2509F8"/>
    <w:rsid w:val="1F484BC1"/>
    <w:rsid w:val="1F7074E6"/>
    <w:rsid w:val="1F8A5B25"/>
    <w:rsid w:val="1F951903"/>
    <w:rsid w:val="1FB45B95"/>
    <w:rsid w:val="1FC658C9"/>
    <w:rsid w:val="200636BC"/>
    <w:rsid w:val="200A1DD2"/>
    <w:rsid w:val="202D3B9A"/>
    <w:rsid w:val="20481285"/>
    <w:rsid w:val="207E43F5"/>
    <w:rsid w:val="208326CE"/>
    <w:rsid w:val="209D7852"/>
    <w:rsid w:val="20C067BC"/>
    <w:rsid w:val="217D645B"/>
    <w:rsid w:val="2190618E"/>
    <w:rsid w:val="21A63602"/>
    <w:rsid w:val="21AF7EF2"/>
    <w:rsid w:val="21C30CB0"/>
    <w:rsid w:val="21CF6E31"/>
    <w:rsid w:val="21D104C4"/>
    <w:rsid w:val="21E6112F"/>
    <w:rsid w:val="22017635"/>
    <w:rsid w:val="2218439E"/>
    <w:rsid w:val="222334A6"/>
    <w:rsid w:val="22255C77"/>
    <w:rsid w:val="22265DFF"/>
    <w:rsid w:val="229D231D"/>
    <w:rsid w:val="22C205C9"/>
    <w:rsid w:val="23325476"/>
    <w:rsid w:val="234014DA"/>
    <w:rsid w:val="235E3DED"/>
    <w:rsid w:val="237044C9"/>
    <w:rsid w:val="23890698"/>
    <w:rsid w:val="239F7881"/>
    <w:rsid w:val="23A41AA9"/>
    <w:rsid w:val="23D20354"/>
    <w:rsid w:val="24013373"/>
    <w:rsid w:val="241E2177"/>
    <w:rsid w:val="2445396E"/>
    <w:rsid w:val="247D6DFF"/>
    <w:rsid w:val="24A450B3"/>
    <w:rsid w:val="24BC729A"/>
    <w:rsid w:val="24EB210A"/>
    <w:rsid w:val="24EB4A9F"/>
    <w:rsid w:val="2557368E"/>
    <w:rsid w:val="25643BBA"/>
    <w:rsid w:val="25B910E0"/>
    <w:rsid w:val="25C909A2"/>
    <w:rsid w:val="25FE6C33"/>
    <w:rsid w:val="261E645E"/>
    <w:rsid w:val="26203303"/>
    <w:rsid w:val="266E5526"/>
    <w:rsid w:val="26B03760"/>
    <w:rsid w:val="27DE4458"/>
    <w:rsid w:val="27E9484A"/>
    <w:rsid w:val="27F42B67"/>
    <w:rsid w:val="27F51449"/>
    <w:rsid w:val="28043921"/>
    <w:rsid w:val="283F5126"/>
    <w:rsid w:val="285808AB"/>
    <w:rsid w:val="287820B1"/>
    <w:rsid w:val="288844C9"/>
    <w:rsid w:val="28920A3E"/>
    <w:rsid w:val="28CC0E2E"/>
    <w:rsid w:val="28E2361B"/>
    <w:rsid w:val="291B6C85"/>
    <w:rsid w:val="293164A9"/>
    <w:rsid w:val="293B10D5"/>
    <w:rsid w:val="293E6CA2"/>
    <w:rsid w:val="29612A4E"/>
    <w:rsid w:val="29820AB2"/>
    <w:rsid w:val="298C4BF2"/>
    <w:rsid w:val="29945580"/>
    <w:rsid w:val="299B2BBB"/>
    <w:rsid w:val="29A10317"/>
    <w:rsid w:val="29BA649E"/>
    <w:rsid w:val="29FD7462"/>
    <w:rsid w:val="2A30222E"/>
    <w:rsid w:val="2A337FFE"/>
    <w:rsid w:val="2A574B50"/>
    <w:rsid w:val="2A60125B"/>
    <w:rsid w:val="2AC11877"/>
    <w:rsid w:val="2B1E2A5D"/>
    <w:rsid w:val="2B2140BD"/>
    <w:rsid w:val="2B867186"/>
    <w:rsid w:val="2B92485A"/>
    <w:rsid w:val="2B9C1C62"/>
    <w:rsid w:val="2BD85E26"/>
    <w:rsid w:val="2BDB3C20"/>
    <w:rsid w:val="2BFF27DA"/>
    <w:rsid w:val="2C312C91"/>
    <w:rsid w:val="2C312F58"/>
    <w:rsid w:val="2C4C35F9"/>
    <w:rsid w:val="2C5249DF"/>
    <w:rsid w:val="2CA040B5"/>
    <w:rsid w:val="2D003340"/>
    <w:rsid w:val="2D232094"/>
    <w:rsid w:val="2D900EBE"/>
    <w:rsid w:val="2DB27BB8"/>
    <w:rsid w:val="2DBE0EDA"/>
    <w:rsid w:val="2DC73D94"/>
    <w:rsid w:val="2DD56C05"/>
    <w:rsid w:val="2DE31D62"/>
    <w:rsid w:val="2E165C6D"/>
    <w:rsid w:val="2E2A34C6"/>
    <w:rsid w:val="2EAC037F"/>
    <w:rsid w:val="2ECA3E2D"/>
    <w:rsid w:val="2EDD678B"/>
    <w:rsid w:val="2EEC39D8"/>
    <w:rsid w:val="2EED10C4"/>
    <w:rsid w:val="2F057E2F"/>
    <w:rsid w:val="2F3321FA"/>
    <w:rsid w:val="2F544C9F"/>
    <w:rsid w:val="2F5E167A"/>
    <w:rsid w:val="2F666BC9"/>
    <w:rsid w:val="2F751905"/>
    <w:rsid w:val="2F842A63"/>
    <w:rsid w:val="2FE57FED"/>
    <w:rsid w:val="2FFB046F"/>
    <w:rsid w:val="2FFE2C29"/>
    <w:rsid w:val="304B06CD"/>
    <w:rsid w:val="3052124B"/>
    <w:rsid w:val="305A25CD"/>
    <w:rsid w:val="309E0B21"/>
    <w:rsid w:val="30AD0B0B"/>
    <w:rsid w:val="30B8216E"/>
    <w:rsid w:val="30BF083E"/>
    <w:rsid w:val="30D56E57"/>
    <w:rsid w:val="31696698"/>
    <w:rsid w:val="317F1D7B"/>
    <w:rsid w:val="318B1A44"/>
    <w:rsid w:val="31B00187"/>
    <w:rsid w:val="31CA396C"/>
    <w:rsid w:val="31FC517A"/>
    <w:rsid w:val="32226600"/>
    <w:rsid w:val="323B0398"/>
    <w:rsid w:val="326A4276"/>
    <w:rsid w:val="32D36F23"/>
    <w:rsid w:val="33091D56"/>
    <w:rsid w:val="33637328"/>
    <w:rsid w:val="338F44F8"/>
    <w:rsid w:val="339C4E66"/>
    <w:rsid w:val="33B201E6"/>
    <w:rsid w:val="33B43DDA"/>
    <w:rsid w:val="33DC1003"/>
    <w:rsid w:val="33FE167D"/>
    <w:rsid w:val="34017A8A"/>
    <w:rsid w:val="340D2785"/>
    <w:rsid w:val="343558F7"/>
    <w:rsid w:val="343F6EBA"/>
    <w:rsid w:val="34425A0E"/>
    <w:rsid w:val="350B7DFE"/>
    <w:rsid w:val="358636D8"/>
    <w:rsid w:val="35CD57AB"/>
    <w:rsid w:val="35ED3757"/>
    <w:rsid w:val="35EF127D"/>
    <w:rsid w:val="362F5B1E"/>
    <w:rsid w:val="36401AD9"/>
    <w:rsid w:val="367A15B2"/>
    <w:rsid w:val="36B24E78"/>
    <w:rsid w:val="36D13079"/>
    <w:rsid w:val="36EA513D"/>
    <w:rsid w:val="36F01751"/>
    <w:rsid w:val="370E607B"/>
    <w:rsid w:val="3710594F"/>
    <w:rsid w:val="371F2EBB"/>
    <w:rsid w:val="37315AF4"/>
    <w:rsid w:val="373A0C1E"/>
    <w:rsid w:val="37C64260"/>
    <w:rsid w:val="37FA7A6D"/>
    <w:rsid w:val="37FE0AA6"/>
    <w:rsid w:val="38496D6C"/>
    <w:rsid w:val="385201EA"/>
    <w:rsid w:val="38806B33"/>
    <w:rsid w:val="388D1222"/>
    <w:rsid w:val="3892621E"/>
    <w:rsid w:val="389D76B7"/>
    <w:rsid w:val="38B663C8"/>
    <w:rsid w:val="38C157B9"/>
    <w:rsid w:val="38C904AC"/>
    <w:rsid w:val="38CA2129"/>
    <w:rsid w:val="38DD5D05"/>
    <w:rsid w:val="38E05B90"/>
    <w:rsid w:val="39035521"/>
    <w:rsid w:val="3907530A"/>
    <w:rsid w:val="39C46EC5"/>
    <w:rsid w:val="39E633D8"/>
    <w:rsid w:val="39F01A68"/>
    <w:rsid w:val="3A1D123D"/>
    <w:rsid w:val="3A744447"/>
    <w:rsid w:val="3AA30888"/>
    <w:rsid w:val="3ADD5E57"/>
    <w:rsid w:val="3AFB3576"/>
    <w:rsid w:val="3B554279"/>
    <w:rsid w:val="3B5E7CF7"/>
    <w:rsid w:val="3BC44F5A"/>
    <w:rsid w:val="3BD258C9"/>
    <w:rsid w:val="3BD74CEB"/>
    <w:rsid w:val="3BED091B"/>
    <w:rsid w:val="3C60699C"/>
    <w:rsid w:val="3C806563"/>
    <w:rsid w:val="3CE16360"/>
    <w:rsid w:val="3CF60458"/>
    <w:rsid w:val="3D042809"/>
    <w:rsid w:val="3D507EF8"/>
    <w:rsid w:val="3D57260A"/>
    <w:rsid w:val="3DC855C0"/>
    <w:rsid w:val="3DDC16B6"/>
    <w:rsid w:val="3DE10046"/>
    <w:rsid w:val="3E425114"/>
    <w:rsid w:val="3E8743FE"/>
    <w:rsid w:val="3EA17748"/>
    <w:rsid w:val="3EE85404"/>
    <w:rsid w:val="3F472A48"/>
    <w:rsid w:val="3F992808"/>
    <w:rsid w:val="3F9E5AF5"/>
    <w:rsid w:val="3FB53538"/>
    <w:rsid w:val="3FB83028"/>
    <w:rsid w:val="3FBE048B"/>
    <w:rsid w:val="3FEB6F5A"/>
    <w:rsid w:val="40602C8E"/>
    <w:rsid w:val="4067627C"/>
    <w:rsid w:val="409265EE"/>
    <w:rsid w:val="40D07EFD"/>
    <w:rsid w:val="40F876EA"/>
    <w:rsid w:val="415218E2"/>
    <w:rsid w:val="417170A1"/>
    <w:rsid w:val="41983619"/>
    <w:rsid w:val="41B67E09"/>
    <w:rsid w:val="41C9151C"/>
    <w:rsid w:val="41F221ED"/>
    <w:rsid w:val="42B90F78"/>
    <w:rsid w:val="431C742A"/>
    <w:rsid w:val="43301127"/>
    <w:rsid w:val="43CA5267"/>
    <w:rsid w:val="4440539A"/>
    <w:rsid w:val="444F53BD"/>
    <w:rsid w:val="44737C99"/>
    <w:rsid w:val="44C77869"/>
    <w:rsid w:val="44DC75E9"/>
    <w:rsid w:val="44ED5664"/>
    <w:rsid w:val="44F22CFD"/>
    <w:rsid w:val="44F364BA"/>
    <w:rsid w:val="44F550BD"/>
    <w:rsid w:val="45437BF3"/>
    <w:rsid w:val="455D6DA5"/>
    <w:rsid w:val="456A6701"/>
    <w:rsid w:val="45A1630C"/>
    <w:rsid w:val="45D756FD"/>
    <w:rsid w:val="45F24ED8"/>
    <w:rsid w:val="46990044"/>
    <w:rsid w:val="46DA15C8"/>
    <w:rsid w:val="46E4575A"/>
    <w:rsid w:val="473A796F"/>
    <w:rsid w:val="47726C6E"/>
    <w:rsid w:val="4789176B"/>
    <w:rsid w:val="47BB58A8"/>
    <w:rsid w:val="47E751F8"/>
    <w:rsid w:val="47EA53F7"/>
    <w:rsid w:val="48453A87"/>
    <w:rsid w:val="48616533"/>
    <w:rsid w:val="486C49B0"/>
    <w:rsid w:val="4878276B"/>
    <w:rsid w:val="489610DE"/>
    <w:rsid w:val="48E73DE4"/>
    <w:rsid w:val="49165F74"/>
    <w:rsid w:val="494476DB"/>
    <w:rsid w:val="49507463"/>
    <w:rsid w:val="496F29A9"/>
    <w:rsid w:val="49A454A8"/>
    <w:rsid w:val="49B22A94"/>
    <w:rsid w:val="49BC0661"/>
    <w:rsid w:val="49BF63F4"/>
    <w:rsid w:val="49C66341"/>
    <w:rsid w:val="4A383DFB"/>
    <w:rsid w:val="4A4C3102"/>
    <w:rsid w:val="4A66686F"/>
    <w:rsid w:val="4A8E3303"/>
    <w:rsid w:val="4A9959A5"/>
    <w:rsid w:val="4AA743C5"/>
    <w:rsid w:val="4AD52586"/>
    <w:rsid w:val="4AE03433"/>
    <w:rsid w:val="4B1E03E7"/>
    <w:rsid w:val="4B30329B"/>
    <w:rsid w:val="4B3F63D0"/>
    <w:rsid w:val="4B6376A7"/>
    <w:rsid w:val="4B654AFD"/>
    <w:rsid w:val="4BA95F1B"/>
    <w:rsid w:val="4BD9754E"/>
    <w:rsid w:val="4BE920DE"/>
    <w:rsid w:val="4C054A64"/>
    <w:rsid w:val="4C472813"/>
    <w:rsid w:val="4C4C4730"/>
    <w:rsid w:val="4C537145"/>
    <w:rsid w:val="4C6D6F48"/>
    <w:rsid w:val="4C6E642C"/>
    <w:rsid w:val="4CD644AB"/>
    <w:rsid w:val="4CEC60BF"/>
    <w:rsid w:val="4CF338F1"/>
    <w:rsid w:val="4D07521F"/>
    <w:rsid w:val="4D1A109E"/>
    <w:rsid w:val="4D371A30"/>
    <w:rsid w:val="4D3B5C7F"/>
    <w:rsid w:val="4D8602C2"/>
    <w:rsid w:val="4DA30E74"/>
    <w:rsid w:val="4DD74EB3"/>
    <w:rsid w:val="4E0C23A2"/>
    <w:rsid w:val="4E1B3100"/>
    <w:rsid w:val="4E821DCA"/>
    <w:rsid w:val="4E922C96"/>
    <w:rsid w:val="4E934692"/>
    <w:rsid w:val="4E9E788D"/>
    <w:rsid w:val="4EA053B3"/>
    <w:rsid w:val="4EA8070C"/>
    <w:rsid w:val="4EC77780"/>
    <w:rsid w:val="4EE47D9D"/>
    <w:rsid w:val="4EF3271A"/>
    <w:rsid w:val="4F02606E"/>
    <w:rsid w:val="4F471CD3"/>
    <w:rsid w:val="4F8A257E"/>
    <w:rsid w:val="4FA94B75"/>
    <w:rsid w:val="4FD55530"/>
    <w:rsid w:val="50000343"/>
    <w:rsid w:val="504656BE"/>
    <w:rsid w:val="50AF3052"/>
    <w:rsid w:val="50B667D3"/>
    <w:rsid w:val="50EC0D83"/>
    <w:rsid w:val="50FC0019"/>
    <w:rsid w:val="511B709E"/>
    <w:rsid w:val="512E27E4"/>
    <w:rsid w:val="513F5B12"/>
    <w:rsid w:val="51922560"/>
    <w:rsid w:val="51E11D57"/>
    <w:rsid w:val="52157E66"/>
    <w:rsid w:val="521A1920"/>
    <w:rsid w:val="52562E9B"/>
    <w:rsid w:val="52A631B4"/>
    <w:rsid w:val="52C61160"/>
    <w:rsid w:val="52C84ED8"/>
    <w:rsid w:val="5314255F"/>
    <w:rsid w:val="53402E60"/>
    <w:rsid w:val="53445E7D"/>
    <w:rsid w:val="535029F5"/>
    <w:rsid w:val="536F0303"/>
    <w:rsid w:val="5376722C"/>
    <w:rsid w:val="5378437C"/>
    <w:rsid w:val="539725B9"/>
    <w:rsid w:val="53C15FC4"/>
    <w:rsid w:val="53EE716F"/>
    <w:rsid w:val="5402266C"/>
    <w:rsid w:val="542C77C3"/>
    <w:rsid w:val="543842E0"/>
    <w:rsid w:val="54613BF0"/>
    <w:rsid w:val="54803E83"/>
    <w:rsid w:val="54A67309"/>
    <w:rsid w:val="54AB2D04"/>
    <w:rsid w:val="54CF6057"/>
    <w:rsid w:val="55286102"/>
    <w:rsid w:val="55511063"/>
    <w:rsid w:val="55EA433F"/>
    <w:rsid w:val="563228AA"/>
    <w:rsid w:val="563B3C13"/>
    <w:rsid w:val="56535401"/>
    <w:rsid w:val="56777341"/>
    <w:rsid w:val="567C046F"/>
    <w:rsid w:val="56C43C09"/>
    <w:rsid w:val="56EA18C1"/>
    <w:rsid w:val="57106FCA"/>
    <w:rsid w:val="571252E1"/>
    <w:rsid w:val="572B1EDA"/>
    <w:rsid w:val="57A23F4A"/>
    <w:rsid w:val="57A46D66"/>
    <w:rsid w:val="57B42F13"/>
    <w:rsid w:val="58070251"/>
    <w:rsid w:val="58234B96"/>
    <w:rsid w:val="584C2108"/>
    <w:rsid w:val="58827087"/>
    <w:rsid w:val="58BD5526"/>
    <w:rsid w:val="58DD0FB2"/>
    <w:rsid w:val="58F5454D"/>
    <w:rsid w:val="592D018B"/>
    <w:rsid w:val="59433B27"/>
    <w:rsid w:val="595963F1"/>
    <w:rsid w:val="599A2988"/>
    <w:rsid w:val="59CC6E29"/>
    <w:rsid w:val="5A047A6B"/>
    <w:rsid w:val="5A253D2B"/>
    <w:rsid w:val="5A7B154E"/>
    <w:rsid w:val="5AC468CD"/>
    <w:rsid w:val="5B2D4472"/>
    <w:rsid w:val="5B3A4258"/>
    <w:rsid w:val="5B7F1DF1"/>
    <w:rsid w:val="5BBC75A4"/>
    <w:rsid w:val="5BCF7320"/>
    <w:rsid w:val="5BDE1EE0"/>
    <w:rsid w:val="5C1D44E7"/>
    <w:rsid w:val="5C292E8C"/>
    <w:rsid w:val="5C49708A"/>
    <w:rsid w:val="5C6A6CA3"/>
    <w:rsid w:val="5C6F779B"/>
    <w:rsid w:val="5C892F65"/>
    <w:rsid w:val="5C8E5FB6"/>
    <w:rsid w:val="5CA761D1"/>
    <w:rsid w:val="5CB807C5"/>
    <w:rsid w:val="5CD2438D"/>
    <w:rsid w:val="5CFF31EA"/>
    <w:rsid w:val="5D1834C1"/>
    <w:rsid w:val="5D24191A"/>
    <w:rsid w:val="5D627860"/>
    <w:rsid w:val="5D69494E"/>
    <w:rsid w:val="5D7A728A"/>
    <w:rsid w:val="5D87607F"/>
    <w:rsid w:val="5DB91881"/>
    <w:rsid w:val="5DC559D7"/>
    <w:rsid w:val="5E007347"/>
    <w:rsid w:val="5E2B4AF7"/>
    <w:rsid w:val="5E394EDC"/>
    <w:rsid w:val="5E4F64AE"/>
    <w:rsid w:val="5E6466ED"/>
    <w:rsid w:val="5E7A33AF"/>
    <w:rsid w:val="5E954808"/>
    <w:rsid w:val="5EB84053"/>
    <w:rsid w:val="5EC92704"/>
    <w:rsid w:val="5F1119B5"/>
    <w:rsid w:val="5F1D47FE"/>
    <w:rsid w:val="5F4C3A48"/>
    <w:rsid w:val="5F74BA73"/>
    <w:rsid w:val="5FEFE110"/>
    <w:rsid w:val="60373891"/>
    <w:rsid w:val="605303A5"/>
    <w:rsid w:val="60687CFB"/>
    <w:rsid w:val="609A4358"/>
    <w:rsid w:val="60B92304"/>
    <w:rsid w:val="60E6759D"/>
    <w:rsid w:val="611559C9"/>
    <w:rsid w:val="612E4AA0"/>
    <w:rsid w:val="613864C7"/>
    <w:rsid w:val="61461670"/>
    <w:rsid w:val="61614E76"/>
    <w:rsid w:val="61633D55"/>
    <w:rsid w:val="619A0388"/>
    <w:rsid w:val="619E5504"/>
    <w:rsid w:val="61D76EE6"/>
    <w:rsid w:val="6211676B"/>
    <w:rsid w:val="62364B69"/>
    <w:rsid w:val="62451DF4"/>
    <w:rsid w:val="62573C41"/>
    <w:rsid w:val="62595B4D"/>
    <w:rsid w:val="626F35C2"/>
    <w:rsid w:val="62A019CE"/>
    <w:rsid w:val="635D78BF"/>
    <w:rsid w:val="63870498"/>
    <w:rsid w:val="63CF256B"/>
    <w:rsid w:val="63D3192F"/>
    <w:rsid w:val="63F024E1"/>
    <w:rsid w:val="64276A3B"/>
    <w:rsid w:val="647132F6"/>
    <w:rsid w:val="6497136C"/>
    <w:rsid w:val="64C45DE1"/>
    <w:rsid w:val="64D03589"/>
    <w:rsid w:val="64DD2A65"/>
    <w:rsid w:val="65150451"/>
    <w:rsid w:val="65420B1A"/>
    <w:rsid w:val="65817895"/>
    <w:rsid w:val="65BF414F"/>
    <w:rsid w:val="65C36F21"/>
    <w:rsid w:val="65C6778F"/>
    <w:rsid w:val="66123504"/>
    <w:rsid w:val="66AF143A"/>
    <w:rsid w:val="66B2560C"/>
    <w:rsid w:val="66DE5151"/>
    <w:rsid w:val="671F556E"/>
    <w:rsid w:val="67E27EFB"/>
    <w:rsid w:val="67E934CF"/>
    <w:rsid w:val="68210EBB"/>
    <w:rsid w:val="686F7E78"/>
    <w:rsid w:val="690D2F77"/>
    <w:rsid w:val="69154ABB"/>
    <w:rsid w:val="695409C2"/>
    <w:rsid w:val="6A040A94"/>
    <w:rsid w:val="6A31115D"/>
    <w:rsid w:val="6A3E0496"/>
    <w:rsid w:val="6A8F4802"/>
    <w:rsid w:val="6A927A03"/>
    <w:rsid w:val="6AF503DD"/>
    <w:rsid w:val="6AF93F9C"/>
    <w:rsid w:val="6B1420D1"/>
    <w:rsid w:val="6B603B25"/>
    <w:rsid w:val="6B7457A6"/>
    <w:rsid w:val="6B7E0A2B"/>
    <w:rsid w:val="6BE65D28"/>
    <w:rsid w:val="6BE91CF0"/>
    <w:rsid w:val="6C1A459F"/>
    <w:rsid w:val="6C1E6BE5"/>
    <w:rsid w:val="6C2C42D2"/>
    <w:rsid w:val="6C5C0714"/>
    <w:rsid w:val="6C863145"/>
    <w:rsid w:val="6D0244F4"/>
    <w:rsid w:val="6D27602F"/>
    <w:rsid w:val="6E035CC9"/>
    <w:rsid w:val="6E2D0DB9"/>
    <w:rsid w:val="6E477DFD"/>
    <w:rsid w:val="6E625D89"/>
    <w:rsid w:val="6E91041D"/>
    <w:rsid w:val="6ED22F0F"/>
    <w:rsid w:val="6F0A08FB"/>
    <w:rsid w:val="6F3962A9"/>
    <w:rsid w:val="6F3E7EF0"/>
    <w:rsid w:val="6F437969"/>
    <w:rsid w:val="6F7A7103"/>
    <w:rsid w:val="6F926B42"/>
    <w:rsid w:val="6FB70357"/>
    <w:rsid w:val="6FDC61FC"/>
    <w:rsid w:val="7009478C"/>
    <w:rsid w:val="701F03D6"/>
    <w:rsid w:val="707E31C9"/>
    <w:rsid w:val="70813A4D"/>
    <w:rsid w:val="709C1A26"/>
    <w:rsid w:val="70A703CB"/>
    <w:rsid w:val="70E33C39"/>
    <w:rsid w:val="710A57AD"/>
    <w:rsid w:val="713E2810"/>
    <w:rsid w:val="71CB3CB6"/>
    <w:rsid w:val="71F55465"/>
    <w:rsid w:val="71F96A05"/>
    <w:rsid w:val="725718DB"/>
    <w:rsid w:val="72624905"/>
    <w:rsid w:val="728C28C5"/>
    <w:rsid w:val="72A050D2"/>
    <w:rsid w:val="72AC4C7F"/>
    <w:rsid w:val="72CB65F3"/>
    <w:rsid w:val="72EA26CE"/>
    <w:rsid w:val="733C129F"/>
    <w:rsid w:val="735F0AE9"/>
    <w:rsid w:val="73702CF6"/>
    <w:rsid w:val="7371347D"/>
    <w:rsid w:val="73ABFDBF"/>
    <w:rsid w:val="73E04723"/>
    <w:rsid w:val="742B7ECE"/>
    <w:rsid w:val="742C30C1"/>
    <w:rsid w:val="74395D95"/>
    <w:rsid w:val="74547A54"/>
    <w:rsid w:val="74591FEB"/>
    <w:rsid w:val="745D5AFF"/>
    <w:rsid w:val="745E7518"/>
    <w:rsid w:val="746A3C92"/>
    <w:rsid w:val="748B4BCA"/>
    <w:rsid w:val="74CF1C9F"/>
    <w:rsid w:val="74E00EDF"/>
    <w:rsid w:val="757C1E26"/>
    <w:rsid w:val="75CF430F"/>
    <w:rsid w:val="75EF25F8"/>
    <w:rsid w:val="75F2239C"/>
    <w:rsid w:val="7600267F"/>
    <w:rsid w:val="76373B19"/>
    <w:rsid w:val="763F76B7"/>
    <w:rsid w:val="76446146"/>
    <w:rsid w:val="76597BBA"/>
    <w:rsid w:val="76BD44A5"/>
    <w:rsid w:val="76EF31FF"/>
    <w:rsid w:val="770152F0"/>
    <w:rsid w:val="77456248"/>
    <w:rsid w:val="77B5517C"/>
    <w:rsid w:val="77FA652A"/>
    <w:rsid w:val="78283BA0"/>
    <w:rsid w:val="78843B4A"/>
    <w:rsid w:val="788E6CCB"/>
    <w:rsid w:val="78AD5A3F"/>
    <w:rsid w:val="78C7785D"/>
    <w:rsid w:val="78C80561"/>
    <w:rsid w:val="78CF754F"/>
    <w:rsid w:val="78EC4EA5"/>
    <w:rsid w:val="78FF03F7"/>
    <w:rsid w:val="7904730A"/>
    <w:rsid w:val="790D55A6"/>
    <w:rsid w:val="79194FCA"/>
    <w:rsid w:val="79312F28"/>
    <w:rsid w:val="795F513D"/>
    <w:rsid w:val="7987746E"/>
    <w:rsid w:val="79BF22E2"/>
    <w:rsid w:val="7A094544"/>
    <w:rsid w:val="7ABE6A3D"/>
    <w:rsid w:val="7AF81F4F"/>
    <w:rsid w:val="7B0004F2"/>
    <w:rsid w:val="7B1C3E77"/>
    <w:rsid w:val="7B8C08E9"/>
    <w:rsid w:val="7BA51879"/>
    <w:rsid w:val="7C084414"/>
    <w:rsid w:val="7C0D48D4"/>
    <w:rsid w:val="7C956588"/>
    <w:rsid w:val="7CE55E16"/>
    <w:rsid w:val="7D1961AD"/>
    <w:rsid w:val="7D285296"/>
    <w:rsid w:val="7D2C7C8E"/>
    <w:rsid w:val="7D3812BF"/>
    <w:rsid w:val="7D3927A9"/>
    <w:rsid w:val="7D553A71"/>
    <w:rsid w:val="7DA67B57"/>
    <w:rsid w:val="7E0D1B42"/>
    <w:rsid w:val="7E464D80"/>
    <w:rsid w:val="7E912651"/>
    <w:rsid w:val="7EA636B2"/>
    <w:rsid w:val="7EB51837"/>
    <w:rsid w:val="7EB57D24"/>
    <w:rsid w:val="7ECD36F3"/>
    <w:rsid w:val="7EDE320A"/>
    <w:rsid w:val="7F13473F"/>
    <w:rsid w:val="7F250E39"/>
    <w:rsid w:val="7F264BB1"/>
    <w:rsid w:val="7F5D1721"/>
    <w:rsid w:val="7FA507A0"/>
    <w:rsid w:val="7FD45D4F"/>
    <w:rsid w:val="BFE658DB"/>
    <w:rsid w:val="FEF388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9"/>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70"/>
    <w:qFormat/>
    <w:uiPriority w:val="0"/>
    <w:pPr>
      <w:spacing w:before="120" w:after="120" w:line="360" w:lineRule="auto"/>
      <w:outlineLvl w:val="1"/>
    </w:pPr>
    <w:rPr>
      <w:rFonts w:ascii="Times New Roman" w:hAnsi="Times New Roman"/>
      <w:b/>
      <w:sz w:val="24"/>
    </w:rPr>
  </w:style>
  <w:style w:type="paragraph" w:styleId="5">
    <w:name w:val="heading 3"/>
    <w:basedOn w:val="1"/>
    <w:next w:val="1"/>
    <w:link w:val="71"/>
    <w:qFormat/>
    <w:uiPriority w:val="0"/>
    <w:pPr>
      <w:spacing w:before="120" w:after="120" w:line="360" w:lineRule="auto"/>
      <w:outlineLvl w:val="2"/>
    </w:pPr>
    <w:rPr>
      <w:rFonts w:ascii="Times New Roman" w:hAnsi="Times New Roman"/>
      <w:b/>
      <w:sz w:val="24"/>
    </w:rPr>
  </w:style>
  <w:style w:type="paragraph" w:styleId="6">
    <w:name w:val="heading 4"/>
    <w:next w:val="1"/>
    <w:link w:val="72"/>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73"/>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74"/>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5"/>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6"/>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7"/>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279"/>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8"/>
    <w:unhideWhenUsed/>
    <w:qFormat/>
    <w:uiPriority w:val="99"/>
    <w:pPr>
      <w:jc w:val="left"/>
    </w:pPr>
  </w:style>
  <w:style w:type="paragraph" w:styleId="17">
    <w:name w:val="Body Text"/>
    <w:basedOn w:val="1"/>
    <w:link w:val="79"/>
    <w:qFormat/>
    <w:uiPriority w:val="99"/>
    <w:pPr>
      <w:spacing w:after="120" w:line="300" w:lineRule="auto"/>
      <w:ind w:firstLine="420" w:firstLineChars="200"/>
    </w:pPr>
    <w:rPr>
      <w:rFonts w:ascii="Times New Roman" w:hAnsi="Times New Roman"/>
      <w:sz w:val="24"/>
    </w:rPr>
  </w:style>
  <w:style w:type="paragraph" w:styleId="18">
    <w:name w:val="Body Text Indent"/>
    <w:basedOn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80"/>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81"/>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82"/>
    <w:unhideWhenUsed/>
    <w:qFormat/>
    <w:uiPriority w:val="99"/>
    <w:rPr>
      <w:sz w:val="20"/>
    </w:rPr>
  </w:style>
  <w:style w:type="paragraph" w:styleId="27">
    <w:name w:val="Balloon Text"/>
    <w:basedOn w:val="1"/>
    <w:link w:val="83"/>
    <w:unhideWhenUsed/>
    <w:qFormat/>
    <w:uiPriority w:val="99"/>
    <w:rPr>
      <w:sz w:val="18"/>
      <w:szCs w:val="18"/>
    </w:rPr>
  </w:style>
  <w:style w:type="paragraph" w:styleId="28">
    <w:name w:val="footer"/>
    <w:basedOn w:val="1"/>
    <w:link w:val="84"/>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5"/>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6"/>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7"/>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9"/>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90"/>
    <w:unhideWhenUsed/>
    <w:qFormat/>
    <w:uiPriority w:val="99"/>
    <w:rPr>
      <w:b/>
      <w:bCs/>
    </w:rPr>
  </w:style>
  <w:style w:type="paragraph" w:styleId="43">
    <w:name w:val="Body Text First Indent"/>
    <w:basedOn w:val="17"/>
    <w:link w:val="278"/>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正文文本1"/>
    <w:basedOn w:val="1"/>
    <w:qFormat/>
    <w:uiPriority w:val="99"/>
    <w:rPr>
      <w:rFonts w:ascii="楷体_GB2312" w:hAnsi="Arial" w:eastAsia="楷体_GB2312"/>
      <w:sz w:val="28"/>
      <w:szCs w:val="20"/>
    </w:rPr>
  </w:style>
  <w:style w:type="paragraph" w:customStyle="1" w:styleId="62">
    <w:name w:val="BodyText1I2"/>
    <w:basedOn w:val="63"/>
    <w:next w:val="1"/>
    <w:autoRedefine/>
    <w:qFormat/>
    <w:uiPriority w:val="0"/>
    <w:pPr>
      <w:spacing w:line="360" w:lineRule="auto"/>
      <w:ind w:firstLine="0" w:firstLineChars="0"/>
      <w:jc w:val="center"/>
    </w:pPr>
    <w:rPr>
      <w:rFonts w:ascii="Calibri" w:hAnsi="Calibri"/>
      <w:b/>
      <w:bCs/>
    </w:rPr>
  </w:style>
  <w:style w:type="paragraph" w:customStyle="1" w:styleId="63">
    <w:name w:val="BodyTextIndent"/>
    <w:basedOn w:val="1"/>
    <w:next w:val="64"/>
    <w:autoRedefine/>
    <w:qFormat/>
    <w:uiPriority w:val="0"/>
    <w:pPr>
      <w:snapToGrid w:val="0"/>
      <w:spacing w:line="440" w:lineRule="exact"/>
      <w:ind w:firstLine="403" w:firstLineChars="192"/>
      <w:textAlignment w:val="baseline"/>
    </w:pPr>
    <w:rPr>
      <w:rFonts w:ascii="宋体" w:hAnsi="宋体"/>
    </w:rPr>
  </w:style>
  <w:style w:type="paragraph" w:customStyle="1" w:styleId="64">
    <w:name w:val="EnvelopeReturn"/>
    <w:basedOn w:val="1"/>
    <w:autoRedefine/>
    <w:qFormat/>
    <w:uiPriority w:val="0"/>
    <w:pPr>
      <w:snapToGrid w:val="0"/>
      <w:textAlignment w:val="baseline"/>
    </w:pPr>
    <w:rPr>
      <w:rFonts w:ascii="Arial" w:hAnsi="Arial"/>
    </w:rPr>
  </w:style>
  <w:style w:type="paragraph" w:customStyle="1" w:styleId="65">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6">
    <w:name w:val="一级条标题"/>
    <w:basedOn w:val="67"/>
    <w:next w:val="68"/>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7">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8">
    <w:name w:val="段"/>
    <w:basedOn w:val="1"/>
    <w:next w:val="1"/>
    <w:qFormat/>
    <w:uiPriority w:val="0"/>
    <w:pPr>
      <w:widowControl/>
      <w:ind w:firstLine="200"/>
    </w:pPr>
    <w:rPr>
      <w:rFonts w:hint="eastAsia" w:ascii="宋体"/>
      <w:szCs w:val="20"/>
    </w:rPr>
  </w:style>
  <w:style w:type="character" w:customStyle="1" w:styleId="69">
    <w:name w:val="标题 1 字符"/>
    <w:link w:val="2"/>
    <w:qFormat/>
    <w:uiPriority w:val="99"/>
    <w:rPr>
      <w:rFonts w:ascii="宋体" w:hAnsi="宋体" w:eastAsia="宋体" w:cs="Times New Roman"/>
      <w:b/>
      <w:bCs/>
      <w:sz w:val="14"/>
      <w:szCs w:val="14"/>
    </w:rPr>
  </w:style>
  <w:style w:type="character" w:customStyle="1" w:styleId="70">
    <w:name w:val="标题 2 字符"/>
    <w:link w:val="4"/>
    <w:qFormat/>
    <w:uiPriority w:val="0"/>
    <w:rPr>
      <w:rFonts w:ascii="Arial" w:hAnsi="Arial" w:eastAsia="黑体" w:cs="Arial"/>
      <w:b/>
      <w:bCs/>
      <w:sz w:val="32"/>
      <w:szCs w:val="32"/>
    </w:rPr>
  </w:style>
  <w:style w:type="character" w:customStyle="1" w:styleId="71">
    <w:name w:val="标题 3 字符"/>
    <w:link w:val="5"/>
    <w:qFormat/>
    <w:uiPriority w:val="0"/>
    <w:rPr>
      <w:rFonts w:ascii="Times New Roman" w:hAnsi="Times New Roman" w:eastAsia="宋体" w:cs="Times New Roman"/>
      <w:b/>
      <w:bCs/>
      <w:sz w:val="32"/>
      <w:szCs w:val="32"/>
    </w:rPr>
  </w:style>
  <w:style w:type="character" w:customStyle="1" w:styleId="72">
    <w:name w:val="标题 4 字符"/>
    <w:link w:val="6"/>
    <w:qFormat/>
    <w:uiPriority w:val="9"/>
    <w:rPr>
      <w:rFonts w:ascii="Calibri Light" w:hAnsi="Calibri Light" w:eastAsia="黑体" w:cs="Times New Roman"/>
      <w:b/>
      <w:bCs/>
      <w:sz w:val="28"/>
      <w:szCs w:val="28"/>
    </w:rPr>
  </w:style>
  <w:style w:type="character" w:customStyle="1" w:styleId="73">
    <w:name w:val="标题 5 字符"/>
    <w:link w:val="7"/>
    <w:qFormat/>
    <w:uiPriority w:val="9"/>
    <w:rPr>
      <w:rFonts w:ascii="Arial" w:hAnsi="Arial" w:eastAsia="Arial" w:cs="Arial"/>
      <w:b/>
      <w:bCs/>
      <w:sz w:val="24"/>
      <w:szCs w:val="24"/>
    </w:rPr>
  </w:style>
  <w:style w:type="character" w:customStyle="1" w:styleId="74">
    <w:name w:val="标题 6 字符"/>
    <w:link w:val="8"/>
    <w:qFormat/>
    <w:uiPriority w:val="9"/>
    <w:rPr>
      <w:rFonts w:ascii="Arial" w:hAnsi="Arial" w:eastAsia="Arial" w:cs="Arial"/>
      <w:b/>
      <w:bCs/>
      <w:sz w:val="22"/>
      <w:szCs w:val="22"/>
    </w:rPr>
  </w:style>
  <w:style w:type="character" w:customStyle="1" w:styleId="75">
    <w:name w:val="标题 7 字符"/>
    <w:link w:val="9"/>
    <w:qFormat/>
    <w:uiPriority w:val="9"/>
    <w:rPr>
      <w:rFonts w:ascii="Arial" w:hAnsi="Arial" w:eastAsia="Arial" w:cs="Arial"/>
      <w:b/>
      <w:bCs/>
      <w:i/>
      <w:iCs/>
      <w:sz w:val="22"/>
      <w:szCs w:val="22"/>
    </w:rPr>
  </w:style>
  <w:style w:type="character" w:customStyle="1" w:styleId="76">
    <w:name w:val="标题 8 字符"/>
    <w:link w:val="10"/>
    <w:qFormat/>
    <w:uiPriority w:val="9"/>
    <w:rPr>
      <w:rFonts w:ascii="Arial" w:hAnsi="Arial" w:eastAsia="Arial" w:cs="Arial"/>
      <w:i/>
      <w:iCs/>
      <w:sz w:val="22"/>
      <w:szCs w:val="22"/>
    </w:rPr>
  </w:style>
  <w:style w:type="character" w:customStyle="1" w:styleId="77">
    <w:name w:val="标题 9 字符"/>
    <w:link w:val="11"/>
    <w:qFormat/>
    <w:uiPriority w:val="9"/>
    <w:rPr>
      <w:rFonts w:ascii="Arial" w:hAnsi="Arial" w:eastAsia="Arial" w:cs="Arial"/>
      <w:i/>
      <w:iCs/>
      <w:sz w:val="21"/>
      <w:szCs w:val="21"/>
    </w:rPr>
  </w:style>
  <w:style w:type="character" w:customStyle="1" w:styleId="78">
    <w:name w:val="批注文字 字符"/>
    <w:link w:val="16"/>
    <w:qFormat/>
    <w:uiPriority w:val="99"/>
    <w:rPr>
      <w:rFonts w:ascii="Calibri" w:hAnsi="Calibri" w:eastAsia="宋体" w:cs="Times New Roman"/>
      <w:sz w:val="21"/>
      <w:szCs w:val="22"/>
    </w:rPr>
  </w:style>
  <w:style w:type="character" w:customStyle="1" w:styleId="79">
    <w:name w:val="正文文本 字符"/>
    <w:link w:val="17"/>
    <w:qFormat/>
    <w:uiPriority w:val="99"/>
    <w:rPr>
      <w:rFonts w:ascii="Times New Roman" w:hAnsi="Times New Roman" w:eastAsia="宋体" w:cs="Times New Roman"/>
      <w:sz w:val="24"/>
      <w:szCs w:val="24"/>
    </w:rPr>
  </w:style>
  <w:style w:type="character" w:customStyle="1" w:styleId="80">
    <w:name w:val="纯文本 字符"/>
    <w:link w:val="22"/>
    <w:qFormat/>
    <w:uiPriority w:val="0"/>
    <w:rPr>
      <w:rFonts w:ascii="宋体" w:hAnsi="Courier New"/>
      <w:sz w:val="21"/>
      <w:szCs w:val="22"/>
    </w:rPr>
  </w:style>
  <w:style w:type="character" w:customStyle="1" w:styleId="81">
    <w:name w:val="日期 字符"/>
    <w:link w:val="24"/>
    <w:qFormat/>
    <w:uiPriority w:val="0"/>
    <w:rPr>
      <w:rFonts w:ascii="Times New Roman" w:hAnsi="Times New Roman" w:eastAsia="宋体" w:cs="Times New Roman"/>
      <w:sz w:val="21"/>
      <w:szCs w:val="24"/>
    </w:rPr>
  </w:style>
  <w:style w:type="character" w:customStyle="1" w:styleId="82">
    <w:name w:val="尾注文本 字符"/>
    <w:link w:val="26"/>
    <w:qFormat/>
    <w:uiPriority w:val="99"/>
    <w:rPr>
      <w:sz w:val="20"/>
    </w:rPr>
  </w:style>
  <w:style w:type="character" w:customStyle="1" w:styleId="83">
    <w:name w:val="批注框文本 字符"/>
    <w:link w:val="27"/>
    <w:semiHidden/>
    <w:qFormat/>
    <w:uiPriority w:val="99"/>
    <w:rPr>
      <w:sz w:val="18"/>
      <w:szCs w:val="18"/>
    </w:rPr>
  </w:style>
  <w:style w:type="character" w:customStyle="1" w:styleId="84">
    <w:name w:val="页脚 字符"/>
    <w:link w:val="28"/>
    <w:qFormat/>
    <w:uiPriority w:val="99"/>
    <w:rPr>
      <w:sz w:val="18"/>
      <w:szCs w:val="18"/>
    </w:rPr>
  </w:style>
  <w:style w:type="character" w:customStyle="1" w:styleId="85">
    <w:name w:val="页眉 字符"/>
    <w:link w:val="30"/>
    <w:qFormat/>
    <w:uiPriority w:val="99"/>
    <w:rPr>
      <w:sz w:val="18"/>
      <w:szCs w:val="18"/>
    </w:rPr>
  </w:style>
  <w:style w:type="character" w:customStyle="1" w:styleId="86">
    <w:name w:val="副标题 字符"/>
    <w:link w:val="33"/>
    <w:qFormat/>
    <w:uiPriority w:val="11"/>
    <w:rPr>
      <w:sz w:val="24"/>
      <w:szCs w:val="24"/>
    </w:rPr>
  </w:style>
  <w:style w:type="character" w:customStyle="1" w:styleId="87">
    <w:name w:val="脚注文本 字符"/>
    <w:link w:val="34"/>
    <w:qFormat/>
    <w:uiPriority w:val="99"/>
    <w:rPr>
      <w:sz w:val="18"/>
    </w:rPr>
  </w:style>
  <w:style w:type="character" w:customStyle="1" w:styleId="88">
    <w:name w:val="HTML 预设格式 字符"/>
    <w:link w:val="39"/>
    <w:qFormat/>
    <w:uiPriority w:val="99"/>
    <w:rPr>
      <w:rFonts w:ascii="Arial" w:hAnsi="Arial" w:eastAsia="宋体" w:cs="Times New Roman"/>
      <w:sz w:val="11"/>
      <w:szCs w:val="11"/>
    </w:rPr>
  </w:style>
  <w:style w:type="character" w:customStyle="1" w:styleId="89">
    <w:name w:val="标题 字符"/>
    <w:link w:val="41"/>
    <w:qFormat/>
    <w:uiPriority w:val="0"/>
    <w:rPr>
      <w:rFonts w:ascii="Cambria" w:hAnsi="Cambria" w:eastAsia="黑体" w:cs="Times New Roman"/>
      <w:b/>
      <w:bCs/>
      <w:sz w:val="52"/>
      <w:szCs w:val="32"/>
    </w:rPr>
  </w:style>
  <w:style w:type="character" w:customStyle="1" w:styleId="90">
    <w:name w:val="批注主题 字符"/>
    <w:link w:val="42"/>
    <w:semiHidden/>
    <w:qFormat/>
    <w:uiPriority w:val="99"/>
    <w:rPr>
      <w:rFonts w:ascii="Calibri" w:hAnsi="Calibri" w:eastAsia="宋体" w:cs="Times New Roman"/>
      <w:b/>
      <w:bCs/>
      <w:sz w:val="21"/>
      <w:szCs w:val="22"/>
    </w:rPr>
  </w:style>
  <w:style w:type="paragraph" w:customStyle="1" w:styleId="91">
    <w:name w:val="正文（缩进）"/>
    <w:basedOn w:val="1"/>
    <w:next w:val="92"/>
    <w:qFormat/>
    <w:uiPriority w:val="0"/>
    <w:pPr>
      <w:spacing w:beforeLines="50" w:afterLines="50" w:line="360" w:lineRule="auto"/>
      <w:ind w:firstLine="480" w:firstLineChars="200"/>
    </w:pPr>
    <w:rPr>
      <w:sz w:val="24"/>
      <w:szCs w:val="24"/>
    </w:rPr>
  </w:style>
  <w:style w:type="paragraph" w:customStyle="1" w:styleId="92">
    <w:name w:val="Char Char Char Char Char Char Char Char Char"/>
    <w:basedOn w:val="1"/>
    <w:next w:val="93"/>
    <w:qFormat/>
    <w:uiPriority w:val="99"/>
    <w:pPr>
      <w:ind w:left="360" w:firstLine="5784"/>
    </w:pPr>
  </w:style>
  <w:style w:type="paragraph" w:customStyle="1" w:styleId="93">
    <w:name w:val="正文文本 21"/>
    <w:basedOn w:val="1"/>
    <w:next w:val="94"/>
    <w:qFormat/>
    <w:uiPriority w:val="99"/>
    <w:pPr>
      <w:widowControl/>
      <w:ind w:left="720" w:firstLine="5680"/>
    </w:pPr>
  </w:style>
  <w:style w:type="paragraph" w:customStyle="1" w:styleId="94">
    <w:name w:val="默认段落字体 Para Char Char Char Char Char Char Char"/>
    <w:basedOn w:val="1"/>
    <w:next w:val="95"/>
    <w:qFormat/>
    <w:uiPriority w:val="99"/>
    <w:pPr>
      <w:ind w:firstLine="200" w:firstLineChars="200"/>
    </w:pPr>
    <w:rPr>
      <w:rFonts w:cs="Arial"/>
    </w:rPr>
  </w:style>
  <w:style w:type="paragraph" w:customStyle="1" w:styleId="95">
    <w:name w:val="样式 首行缩进:  2 字符"/>
    <w:basedOn w:val="1"/>
    <w:next w:val="96"/>
    <w:qFormat/>
    <w:uiPriority w:val="99"/>
    <w:pPr>
      <w:spacing w:line="360" w:lineRule="auto"/>
      <w:ind w:left="480" w:firstLine="5856"/>
    </w:pPr>
  </w:style>
  <w:style w:type="paragraph" w:customStyle="1" w:styleId="96">
    <w:name w:val="样式 段后: 0.25 行"/>
    <w:basedOn w:val="1"/>
    <w:next w:val="97"/>
    <w:qFormat/>
    <w:uiPriority w:val="99"/>
    <w:pPr>
      <w:widowControl/>
      <w:spacing w:line="300" w:lineRule="auto"/>
      <w:ind w:left="420" w:firstLine="5796"/>
    </w:pPr>
  </w:style>
  <w:style w:type="paragraph" w:customStyle="1" w:styleId="97">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8">
    <w:name w:val="Heading 1 Char"/>
    <w:qFormat/>
    <w:uiPriority w:val="9"/>
    <w:rPr>
      <w:rFonts w:ascii="Arial" w:hAnsi="Arial" w:eastAsia="Arial" w:cs="Arial"/>
      <w:sz w:val="40"/>
      <w:szCs w:val="40"/>
    </w:rPr>
  </w:style>
  <w:style w:type="character" w:customStyle="1" w:styleId="99">
    <w:name w:val="Heading 2 Char"/>
    <w:qFormat/>
    <w:uiPriority w:val="9"/>
    <w:rPr>
      <w:rFonts w:ascii="Arial" w:hAnsi="Arial" w:eastAsia="Arial" w:cs="Arial"/>
      <w:sz w:val="34"/>
    </w:rPr>
  </w:style>
  <w:style w:type="character" w:customStyle="1" w:styleId="100">
    <w:name w:val="Heading 3 Char"/>
    <w:qFormat/>
    <w:uiPriority w:val="9"/>
    <w:rPr>
      <w:rFonts w:ascii="Arial" w:hAnsi="Arial" w:eastAsia="Arial" w:cs="Arial"/>
      <w:sz w:val="30"/>
      <w:szCs w:val="30"/>
    </w:rPr>
  </w:style>
  <w:style w:type="character" w:customStyle="1" w:styleId="101">
    <w:name w:val="Heading 4 Char"/>
    <w:qFormat/>
    <w:uiPriority w:val="9"/>
    <w:rPr>
      <w:rFonts w:ascii="Arial" w:hAnsi="Arial" w:eastAsia="Arial" w:cs="Arial"/>
      <w:b/>
      <w:bCs/>
      <w:sz w:val="26"/>
      <w:szCs w:val="26"/>
    </w:rPr>
  </w:style>
  <w:style w:type="character" w:customStyle="1" w:styleId="102">
    <w:name w:val="Title Char"/>
    <w:qFormat/>
    <w:uiPriority w:val="10"/>
    <w:rPr>
      <w:sz w:val="48"/>
      <w:szCs w:val="48"/>
    </w:rPr>
  </w:style>
  <w:style w:type="paragraph" w:customStyle="1" w:styleId="103">
    <w:name w:val="引用1"/>
    <w:basedOn w:val="1"/>
    <w:next w:val="1"/>
    <w:link w:val="104"/>
    <w:qFormat/>
    <w:uiPriority w:val="29"/>
    <w:pPr>
      <w:ind w:left="720" w:right="720"/>
    </w:pPr>
    <w:rPr>
      <w:i/>
    </w:rPr>
  </w:style>
  <w:style w:type="character" w:customStyle="1" w:styleId="104">
    <w:name w:val="引用 Char"/>
    <w:link w:val="103"/>
    <w:qFormat/>
    <w:uiPriority w:val="29"/>
    <w:rPr>
      <w:i/>
    </w:rPr>
  </w:style>
  <w:style w:type="paragraph" w:customStyle="1" w:styleId="105">
    <w:name w:val="明显引用1"/>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Char"/>
    <w:link w:val="105"/>
    <w:qFormat/>
    <w:uiPriority w:val="30"/>
    <w:rPr>
      <w:i/>
    </w:rPr>
  </w:style>
  <w:style w:type="character" w:customStyle="1" w:styleId="107">
    <w:name w:val="Header Char"/>
    <w:qFormat/>
    <w:uiPriority w:val="99"/>
  </w:style>
  <w:style w:type="character" w:customStyle="1" w:styleId="108">
    <w:name w:val="Footer Char"/>
    <w:qFormat/>
    <w:uiPriority w:val="99"/>
  </w:style>
  <w:style w:type="character" w:customStyle="1" w:styleId="109">
    <w:name w:val="Caption Char"/>
    <w:qFormat/>
    <w:uiPriority w:val="99"/>
  </w:style>
  <w:style w:type="table" w:customStyle="1" w:styleId="110">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11">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2">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3">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5">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6">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7">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8">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9">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20">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21">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2">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3">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4">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5">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6">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7">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8">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9">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0">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1">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2">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3">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4">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5">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6">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7">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8">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9">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40">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41">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2">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3">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4">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5">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6">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7">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8">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9">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50">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51">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2">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3">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4">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5">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6">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7">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8">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9">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60">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61">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2">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3">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4">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5">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6">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7">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8">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9">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70">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71">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2">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3">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4">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5">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6">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7">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8">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9">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80">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81">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2">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3">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4">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5">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6">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7">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8">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9">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90">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91">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2">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3">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4">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5">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6">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7">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8">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9">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200">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201">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2">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3">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4">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5">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6">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7">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8">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9">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10">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11">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2">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3">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4">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5">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6">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7">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8">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9">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0">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1">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2">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3">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4">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5">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6">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7">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8">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9">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30">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31">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2">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3">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4">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5">
    <w:name w:val="TOC 标题1"/>
    <w:unhideWhenUsed/>
    <w:qFormat/>
    <w:uiPriority w:val="39"/>
    <w:rPr>
      <w:rFonts w:ascii="Times New Roman" w:hAnsi="Times New Roman" w:eastAsia="宋体" w:cs="Times New Roman"/>
      <w:lang w:val="en-US" w:eastAsia="zh-CN" w:bidi="ar-SA"/>
    </w:rPr>
  </w:style>
  <w:style w:type="paragraph" w:customStyle="1" w:styleId="236">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7">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8">
    <w:name w:val="正文2"/>
    <w:basedOn w:val="1"/>
    <w:link w:val="239"/>
    <w:qFormat/>
    <w:uiPriority w:val="99"/>
    <w:pPr>
      <w:spacing w:line="360" w:lineRule="auto"/>
      <w:ind w:firstLine="420"/>
    </w:pPr>
    <w:rPr>
      <w:rFonts w:ascii="宋体" w:hAnsi="宋体" w:cs="宋体"/>
      <w:color w:val="000000"/>
      <w:szCs w:val="21"/>
    </w:rPr>
  </w:style>
  <w:style w:type="character" w:customStyle="1" w:styleId="239">
    <w:name w:val="正文2 Char Char"/>
    <w:link w:val="238"/>
    <w:qFormat/>
    <w:uiPriority w:val="99"/>
    <w:rPr>
      <w:rFonts w:ascii="宋体" w:hAnsi="宋体" w:eastAsia="宋体" w:cs="宋体"/>
      <w:color w:val="000000"/>
      <w:sz w:val="21"/>
      <w:szCs w:val="21"/>
    </w:rPr>
  </w:style>
  <w:style w:type="paragraph" w:customStyle="1" w:styleId="240">
    <w:name w:val="Table Paragraph"/>
    <w:basedOn w:val="1"/>
    <w:qFormat/>
    <w:uiPriority w:val="1"/>
    <w:pPr>
      <w:jc w:val="left"/>
    </w:pPr>
    <w:rPr>
      <w:rFonts w:ascii="宋体" w:hAnsi="宋体" w:cs="宋体"/>
      <w:sz w:val="22"/>
      <w:lang w:val="zh-CN" w:bidi="zh-CN"/>
    </w:rPr>
  </w:style>
  <w:style w:type="paragraph" w:customStyle="1" w:styleId="241">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2">
    <w:name w:val="p21"/>
    <w:qFormat/>
    <w:uiPriority w:val="0"/>
    <w:rPr>
      <w:sz w:val="9"/>
      <w:szCs w:val="9"/>
    </w:rPr>
  </w:style>
  <w:style w:type="paragraph" w:customStyle="1" w:styleId="243">
    <w:name w:val="t_black_12_b"/>
    <w:basedOn w:val="1"/>
    <w:qFormat/>
    <w:uiPriority w:val="0"/>
    <w:pPr>
      <w:widowControl/>
      <w:jc w:val="left"/>
    </w:pPr>
    <w:rPr>
      <w:rFonts w:ascii="宋体" w:hAnsi="宋体" w:cs="宋体"/>
      <w:b/>
      <w:bCs/>
      <w:color w:val="212121"/>
      <w:sz w:val="9"/>
      <w:szCs w:val="9"/>
    </w:rPr>
  </w:style>
  <w:style w:type="paragraph" w:customStyle="1" w:styleId="244">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5">
    <w:name w:val="标题3"/>
    <w:basedOn w:val="1"/>
    <w:link w:val="246"/>
    <w:qFormat/>
    <w:uiPriority w:val="0"/>
    <w:pPr>
      <w:pageBreakBefore/>
      <w:jc w:val="center"/>
      <w:outlineLvl w:val="2"/>
    </w:pPr>
    <w:rPr>
      <w:rFonts w:ascii="黑体" w:hAnsi="黑体" w:eastAsia="黑体"/>
      <w:b/>
      <w:sz w:val="32"/>
      <w:szCs w:val="32"/>
    </w:rPr>
  </w:style>
  <w:style w:type="character" w:customStyle="1" w:styleId="246">
    <w:name w:val="标题3 Char"/>
    <w:link w:val="245"/>
    <w:qFormat/>
    <w:uiPriority w:val="0"/>
    <w:rPr>
      <w:rFonts w:ascii="黑体" w:hAnsi="黑体" w:eastAsia="黑体" w:cs="Times New Roman"/>
      <w:b/>
      <w:sz w:val="32"/>
      <w:szCs w:val="32"/>
    </w:rPr>
  </w:style>
  <w:style w:type="paragraph" w:customStyle="1" w:styleId="247">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8">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9">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1">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2">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3">
    <w:name w:val="修订1"/>
    <w:unhideWhenUsed/>
    <w:qFormat/>
    <w:uiPriority w:val="99"/>
    <w:rPr>
      <w:rFonts w:ascii="Calibri" w:hAnsi="Calibri" w:eastAsia="宋体" w:cs="Times New Roman"/>
      <w:sz w:val="21"/>
      <w:szCs w:val="22"/>
      <w:lang w:val="en-US" w:eastAsia="zh-CN" w:bidi="ar-SA"/>
    </w:rPr>
  </w:style>
  <w:style w:type="paragraph" w:customStyle="1" w:styleId="254">
    <w:name w:val="BodyText"/>
    <w:basedOn w:val="1"/>
    <w:qFormat/>
    <w:uiPriority w:val="0"/>
    <w:pPr>
      <w:spacing w:after="120"/>
    </w:pPr>
    <w:rPr>
      <w:rFonts w:hAnsi="Times New Roman"/>
      <w:sz w:val="20"/>
      <w:szCs w:val="20"/>
    </w:rPr>
  </w:style>
  <w:style w:type="table" w:customStyle="1" w:styleId="255">
    <w:name w:val="Table Normal"/>
    <w:basedOn w:val="45"/>
    <w:semiHidden/>
    <w:qFormat/>
    <w:uiPriority w:val="2"/>
    <w:tblPr>
      <w:tblCellMar>
        <w:left w:w="0" w:type="dxa"/>
        <w:right w:w="0" w:type="dxa"/>
      </w:tblCellMar>
    </w:tblPr>
  </w:style>
  <w:style w:type="paragraph" w:customStyle="1" w:styleId="256">
    <w:name w:val="列出段落11"/>
    <w:basedOn w:val="1"/>
    <w:qFormat/>
    <w:uiPriority w:val="99"/>
    <w:pPr>
      <w:ind w:firstLine="420"/>
    </w:pPr>
    <w:rPr>
      <w:rFonts w:ascii="Times New Roman" w:hAnsi="Times New Roman"/>
      <w:szCs w:val="24"/>
    </w:rPr>
  </w:style>
  <w:style w:type="paragraph" w:customStyle="1" w:styleId="257">
    <w:name w:val="hk正文"/>
    <w:basedOn w:val="1"/>
    <w:qFormat/>
    <w:uiPriority w:val="0"/>
    <w:pPr>
      <w:spacing w:line="440" w:lineRule="exact"/>
      <w:ind w:firstLine="560"/>
    </w:pPr>
    <w:rPr>
      <w:rFonts w:ascii="Arial" w:hAnsi="Arial" w:cs="宋体"/>
      <w:szCs w:val="28"/>
    </w:rPr>
  </w:style>
  <w:style w:type="paragraph" w:customStyle="1" w:styleId="258">
    <w:name w:val="首行缩进"/>
    <w:basedOn w:val="1"/>
    <w:qFormat/>
    <w:uiPriority w:val="0"/>
    <w:pPr>
      <w:ind w:firstLine="480"/>
    </w:pPr>
    <w:rPr>
      <w:rFonts w:eastAsia="楷体_GB2312"/>
      <w:sz w:val="26"/>
      <w:lang w:val="zh-CN"/>
    </w:rPr>
  </w:style>
  <w:style w:type="paragraph" w:customStyle="1" w:styleId="259">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60">
    <w:name w:val="Table Text"/>
    <w:basedOn w:val="1"/>
    <w:semiHidden/>
    <w:qFormat/>
    <w:uiPriority w:val="0"/>
    <w:rPr>
      <w:rFonts w:ascii="Arial" w:hAnsi="Arial" w:eastAsia="Arial" w:cs="Arial"/>
      <w:szCs w:val="21"/>
      <w:lang w:eastAsia="en-US"/>
    </w:rPr>
  </w:style>
  <w:style w:type="paragraph" w:customStyle="1" w:styleId="261">
    <w:name w:val="列表段落1"/>
    <w:basedOn w:val="1"/>
    <w:qFormat/>
    <w:uiPriority w:val="34"/>
    <w:pPr>
      <w:ind w:left="223" w:firstLine="420"/>
    </w:pPr>
  </w:style>
  <w:style w:type="paragraph" w:customStyle="1" w:styleId="262">
    <w:name w:val="修订2"/>
    <w:hidden/>
    <w:unhideWhenUsed/>
    <w:qFormat/>
    <w:uiPriority w:val="99"/>
    <w:rPr>
      <w:rFonts w:ascii="Calibri" w:hAnsi="Calibri" w:eastAsia="宋体" w:cs="Times New Roman"/>
      <w:sz w:val="21"/>
      <w:szCs w:val="22"/>
      <w:lang w:val="en-US" w:eastAsia="zh-CN" w:bidi="ar-SA"/>
    </w:rPr>
  </w:style>
  <w:style w:type="paragraph" w:customStyle="1" w:styleId="263">
    <w:name w:val="修订3"/>
    <w:hidden/>
    <w:unhideWhenUsed/>
    <w:qFormat/>
    <w:uiPriority w:val="99"/>
    <w:rPr>
      <w:rFonts w:ascii="Calibri" w:hAnsi="Calibri" w:eastAsia="宋体" w:cs="Times New Roman"/>
      <w:sz w:val="21"/>
      <w:szCs w:val="22"/>
      <w:lang w:val="en-US" w:eastAsia="zh-CN" w:bidi="ar-SA"/>
    </w:rPr>
  </w:style>
  <w:style w:type="paragraph" w:customStyle="1" w:styleId="264">
    <w:name w:val="修订4"/>
    <w:hidden/>
    <w:unhideWhenUsed/>
    <w:qFormat/>
    <w:uiPriority w:val="99"/>
    <w:rPr>
      <w:rFonts w:ascii="Calibri" w:hAnsi="Calibri" w:eastAsia="宋体" w:cs="Times New Roman"/>
      <w:sz w:val="21"/>
      <w:szCs w:val="22"/>
      <w:lang w:val="en-US" w:eastAsia="zh-CN" w:bidi="ar-SA"/>
    </w:rPr>
  </w:style>
  <w:style w:type="paragraph" w:customStyle="1" w:styleId="265">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6">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7">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8">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9">
    <w:name w:val="着重标题"/>
    <w:qFormat/>
    <w:uiPriority w:val="0"/>
    <w:rPr>
      <w:rFonts w:ascii="Calibri" w:hAnsi="Calibri"/>
      <w:b/>
      <w:sz w:val="24"/>
    </w:rPr>
  </w:style>
  <w:style w:type="paragraph" w:customStyle="1" w:styleId="270">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71">
    <w:name w:val="标题 61"/>
    <w:basedOn w:val="1"/>
    <w:qFormat/>
    <w:uiPriority w:val="1"/>
    <w:pPr>
      <w:ind w:left="680"/>
      <w:outlineLvl w:val="6"/>
    </w:pPr>
    <w:rPr>
      <w:sz w:val="24"/>
      <w:szCs w:val="24"/>
    </w:rPr>
  </w:style>
  <w:style w:type="paragraph" w:customStyle="1" w:styleId="272">
    <w:name w:val="标题 51"/>
    <w:basedOn w:val="1"/>
    <w:qFormat/>
    <w:uiPriority w:val="1"/>
    <w:pPr>
      <w:spacing w:before="3"/>
      <w:ind w:left="680"/>
      <w:outlineLvl w:val="5"/>
    </w:pPr>
    <w:rPr>
      <w:b/>
      <w:bCs/>
      <w:sz w:val="24"/>
      <w:szCs w:val="24"/>
    </w:rPr>
  </w:style>
  <w:style w:type="paragraph" w:customStyle="1" w:styleId="273">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4">
    <w:name w:val="NormalCharacter1"/>
    <w:semiHidden/>
    <w:qFormat/>
    <w:uiPriority w:val="0"/>
    <w:rPr>
      <w:rFonts w:ascii="Calibri" w:hAnsi="Calibri" w:eastAsia="宋体" w:cs="Times New Roman"/>
      <w:sz w:val="21"/>
      <w:szCs w:val="22"/>
      <w:lang w:val="en-US" w:eastAsia="zh-CN" w:bidi="ar-SA"/>
    </w:rPr>
  </w:style>
  <w:style w:type="character" w:customStyle="1" w:styleId="275">
    <w:name w:val="批注文字 字符1"/>
    <w:qFormat/>
    <w:uiPriority w:val="99"/>
    <w:rPr>
      <w:kern w:val="2"/>
      <w:sz w:val="21"/>
      <w:szCs w:val="24"/>
    </w:rPr>
  </w:style>
  <w:style w:type="paragraph" w:customStyle="1" w:styleId="276">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277">
    <w:name w:val="No Spacing"/>
    <w:qFormat/>
    <w:uiPriority w:val="99"/>
    <w:pPr>
      <w:widowControl w:val="0"/>
      <w:jc w:val="both"/>
    </w:pPr>
    <w:rPr>
      <w:rFonts w:ascii="Calibri" w:hAnsi="Calibri" w:eastAsia="宋体" w:cs="Times New Roman"/>
      <w:kern w:val="2"/>
      <w:sz w:val="24"/>
      <w:szCs w:val="22"/>
      <w:lang w:val="en-US" w:eastAsia="zh-CN" w:bidi="ar-SA"/>
    </w:rPr>
  </w:style>
  <w:style w:type="character" w:customStyle="1" w:styleId="278">
    <w:name w:val="正文首行缩进 字符"/>
    <w:basedOn w:val="79"/>
    <w:link w:val="43"/>
    <w:qFormat/>
    <w:uiPriority w:val="0"/>
    <w:rPr>
      <w:rFonts w:asciiTheme="minorHAnsi" w:hAnsiTheme="minorHAnsi" w:eastAsiaTheme="minorEastAsia" w:cstheme="minorBidi"/>
      <w:kern w:val="2"/>
      <w:sz w:val="21"/>
      <w:szCs w:val="24"/>
    </w:rPr>
  </w:style>
  <w:style w:type="character" w:customStyle="1" w:styleId="279">
    <w:name w:val="列出段落 字符"/>
    <w:link w:val="3"/>
    <w:qFormat/>
    <w:uiPriority w:val="99"/>
    <w:rPr>
      <w:rFonts w:ascii="Calibri" w:hAnsi="Calibri"/>
      <w:sz w:val="21"/>
      <w:szCs w:val="22"/>
    </w:rPr>
  </w:style>
  <w:style w:type="character" w:customStyle="1" w:styleId="280">
    <w:name w:val="Michael-正文 字符"/>
    <w:basedOn w:val="47"/>
    <w:link w:val="281"/>
    <w:qFormat/>
    <w:uiPriority w:val="0"/>
    <w:rPr>
      <w:rFonts w:ascii="Calibri" w:hAnsi="Calibri" w:eastAsia="微软雅黑" w:cs="Calibri"/>
    </w:rPr>
  </w:style>
  <w:style w:type="paragraph" w:customStyle="1" w:styleId="281">
    <w:name w:val="Michael-正文"/>
    <w:basedOn w:val="1"/>
    <w:link w:val="280"/>
    <w:qFormat/>
    <w:uiPriority w:val="0"/>
    <w:pPr>
      <w:adjustRightInd w:val="0"/>
    </w:pPr>
    <w:rPr>
      <w:rFonts w:eastAsia="微软雅黑" w:cs="Calibri"/>
      <w:sz w:val="20"/>
      <w:szCs w:val="20"/>
    </w:rPr>
  </w:style>
  <w:style w:type="paragraph" w:customStyle="1" w:styleId="282">
    <w:name w:val="修订5"/>
    <w:hidden/>
    <w:unhideWhenUsed/>
    <w:qFormat/>
    <w:uiPriority w:val="99"/>
    <w:rPr>
      <w:rFonts w:ascii="Calibri" w:hAnsi="Calibri" w:eastAsia="宋体" w:cs="Times New Roman"/>
      <w:sz w:val="21"/>
      <w:szCs w:val="22"/>
      <w:lang w:val="en-US" w:eastAsia="zh-CN" w:bidi="ar-SA"/>
    </w:rPr>
  </w:style>
  <w:style w:type="paragraph" w:customStyle="1" w:styleId="283">
    <w:name w:val="修订6"/>
    <w:hidden/>
    <w:unhideWhenUsed/>
    <w:qFormat/>
    <w:uiPriority w:val="99"/>
    <w:rPr>
      <w:rFonts w:ascii="Calibri" w:hAnsi="Calibri" w:eastAsia="宋体" w:cs="Times New Roman"/>
      <w:sz w:val="21"/>
      <w:szCs w:val="22"/>
      <w:lang w:val="en-US" w:eastAsia="zh-CN" w:bidi="ar-SA"/>
    </w:rPr>
  </w:style>
  <w:style w:type="character" w:customStyle="1" w:styleId="284">
    <w:name w:val="未处理的提及1"/>
    <w:basedOn w:val="47"/>
    <w:semiHidden/>
    <w:unhideWhenUsed/>
    <w:qFormat/>
    <w:uiPriority w:val="99"/>
    <w:rPr>
      <w:color w:val="605E5C"/>
      <w:shd w:val="clear" w:color="auto" w:fill="E1DFDD"/>
    </w:rPr>
  </w:style>
  <w:style w:type="paragraph" w:customStyle="1" w:styleId="285">
    <w:name w:val="修订7"/>
    <w:hidden/>
    <w:unhideWhenUsed/>
    <w:qFormat/>
    <w:uiPriority w:val="99"/>
    <w:rPr>
      <w:rFonts w:ascii="Calibri" w:hAnsi="Calibri" w:eastAsia="宋体" w:cs="Times New Roman"/>
      <w:sz w:val="21"/>
      <w:szCs w:val="22"/>
      <w:lang w:val="en-US" w:eastAsia="zh-CN" w:bidi="ar-SA"/>
    </w:rPr>
  </w:style>
  <w:style w:type="character" w:customStyle="1" w:styleId="286">
    <w:name w:val="font11"/>
    <w:basedOn w:val="47"/>
    <w:qFormat/>
    <w:uiPriority w:val="0"/>
    <w:rPr>
      <w:rFonts w:hint="eastAsia" w:ascii="宋体" w:hAnsi="宋体" w:eastAsia="宋体" w:cs="宋体"/>
      <w:b/>
      <w:bCs/>
      <w:color w:val="000000"/>
      <w:sz w:val="21"/>
      <w:szCs w:val="21"/>
      <w:u w:val="none"/>
    </w:rPr>
  </w:style>
  <w:style w:type="character" w:customStyle="1" w:styleId="287">
    <w:name w:val="font21"/>
    <w:basedOn w:val="47"/>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43</Pages>
  <Words>11199</Words>
  <Characters>11756</Characters>
  <Lines>178</Lines>
  <Paragraphs>50</Paragraphs>
  <TotalTime>141</TotalTime>
  <ScaleCrop>false</ScaleCrop>
  <LinksUpToDate>false</LinksUpToDate>
  <CharactersWithSpaces>11785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2026-06-02T07:13:00Z</dcterms:created>
  <dc:creator>Administrator</dc:creator>
  <cp:lastModifiedBy>盼盼</cp:lastModifiedBy>
  <cp:lastPrinted>2026-08-11T07:38:00Z</cp:lastPrinted>
  <dcterms:modified xsi:type="dcterms:W3CDTF">2026-08-13T07:41:19Z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3FD3186718B74430948F2B6955C81B74_13</vt:lpwstr>
  </property>
  <property fmtid="{D5CDD505-2E9C-101B-9397-08002B2CF9AE}" pid="4" name="KSOTemplateDocerSaveRecord">
    <vt:lpwstr>eyJoZGlkIjoiMzEwNTM5NzYwMDRjMzkwZTVkZjY2ODkwMGIxNGU0OTUiLCJ1c2VySWQiOiI2MDE4NjQ0NjIifQ==</vt:lpwstr>
  </property>
</Properties>
</file>