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FB5E57">
      <w:pPr>
        <w:spacing w:line="360" w:lineRule="auto"/>
        <w:jc w:val="center"/>
        <w:rPr>
          <w:rFonts w:hint="eastAsia" w:ascii="宋体" w:hAnsi="宋体" w:eastAsia="宋体" w:cs="宋体"/>
          <w:b/>
          <w:color w:val="000000" w:themeColor="text1"/>
          <w:sz w:val="44"/>
          <w:highlight w:val="none"/>
          <w:shd w:val="clear" w:color="auto" w:fill="FFFFFF"/>
          <w14:textFill>
            <w14:solidFill>
              <w14:schemeClr w14:val="tx1"/>
            </w14:solidFill>
          </w14:textFill>
        </w:rPr>
      </w:pPr>
    </w:p>
    <w:p w14:paraId="395EF7FD">
      <w:pPr>
        <w:pStyle w:val="17"/>
        <w:spacing w:line="360" w:lineRule="auto"/>
        <w:ind w:firstLine="883"/>
        <w:jc w:val="center"/>
        <w:rPr>
          <w:rFonts w:hint="eastAsia" w:ascii="宋体" w:hAnsi="宋体" w:eastAsia="宋体" w:cs="宋体"/>
          <w:b/>
          <w:color w:val="000000" w:themeColor="text1"/>
          <w:sz w:val="44"/>
          <w:highlight w:val="none"/>
          <w:shd w:val="clear" w:color="auto" w:fill="FFFFFF"/>
          <w:lang w:eastAsia="zh-CN"/>
          <w14:textFill>
            <w14:solidFill>
              <w14:schemeClr w14:val="tx1"/>
            </w14:solidFill>
          </w14:textFill>
        </w:rPr>
      </w:pPr>
      <w:r>
        <w:rPr>
          <w:rFonts w:hint="eastAsia" w:ascii="宋体" w:hAnsi="宋体" w:eastAsia="宋体" w:cs="宋体"/>
          <w:b/>
          <w:color w:val="000000" w:themeColor="text1"/>
          <w:sz w:val="44"/>
          <w:highlight w:val="none"/>
          <w:shd w:val="clear" w:color="auto" w:fill="FFFFFF"/>
          <w:lang w:eastAsia="zh-CN"/>
          <w14:textFill>
            <w14:solidFill>
              <w14:schemeClr w14:val="tx1"/>
            </w14:solidFill>
          </w14:textFill>
        </w:rPr>
        <w:t>南京邮电大学材料科学与工程学院能量色散型X射线荧光光谱仪采购项目（第二次）</w:t>
      </w:r>
    </w:p>
    <w:p w14:paraId="0B5C6A39">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7363C0DB">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54EA7B95">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4293DDDE">
      <w:pPr>
        <w:spacing w:line="360" w:lineRule="auto"/>
        <w:jc w:val="center"/>
        <w:rPr>
          <w:rFonts w:hint="eastAsia" w:ascii="宋体" w:hAnsi="宋体" w:cs="宋体"/>
          <w:b/>
          <w:color w:val="000000" w:themeColor="text1"/>
          <w:sz w:val="32"/>
          <w:highlight w:val="none"/>
          <w:shd w:val="clear" w:color="auto" w:fill="FFFFFF"/>
          <w14:textFill>
            <w14:solidFill>
              <w14:schemeClr w14:val="tx1"/>
            </w14:solidFill>
          </w14:textFill>
        </w:rPr>
      </w:pPr>
    </w:p>
    <w:p w14:paraId="3DB36637">
      <w:pPr>
        <w:spacing w:line="360" w:lineRule="auto"/>
        <w:jc w:val="center"/>
        <w:rPr>
          <w:rFonts w:hint="eastAsia" w:ascii="宋体" w:hAnsi="宋体" w:cs="宋体"/>
          <w:b/>
          <w:color w:val="000000" w:themeColor="text1"/>
          <w:sz w:val="72"/>
          <w:highlight w:val="none"/>
          <w14:textFill>
            <w14:solidFill>
              <w14:schemeClr w14:val="tx1"/>
            </w14:solidFill>
          </w14:textFill>
        </w:rPr>
      </w:pPr>
      <w:r>
        <w:rPr>
          <w:rFonts w:hint="eastAsia" w:ascii="宋体" w:hAnsi="宋体" w:cs="宋体"/>
          <w:b/>
          <w:color w:val="000000" w:themeColor="text1"/>
          <w:sz w:val="72"/>
          <w:highlight w:val="none"/>
          <w14:textFill>
            <w14:solidFill>
              <w14:schemeClr w14:val="tx1"/>
            </w14:solidFill>
          </w14:textFill>
        </w:rPr>
        <w:t>公开比选</w:t>
      </w:r>
      <w:r>
        <w:rPr>
          <w:rFonts w:ascii="宋体" w:hAnsi="宋体" w:cs="宋体"/>
          <w:b/>
          <w:color w:val="000000" w:themeColor="text1"/>
          <w:sz w:val="72"/>
          <w:highlight w:val="none"/>
          <w14:textFill>
            <w14:solidFill>
              <w14:schemeClr w14:val="tx1"/>
            </w14:solidFill>
          </w14:textFill>
        </w:rPr>
        <w:t>文件</w:t>
      </w:r>
    </w:p>
    <w:p w14:paraId="26651A48">
      <w:pPr>
        <w:pStyle w:val="258"/>
        <w:ind w:firstLine="0"/>
        <w:jc w:val="center"/>
        <w:rPr>
          <w:rFonts w:hint="eastAsia" w:asciiTheme="majorEastAsia" w:hAnsiTheme="majorEastAsia" w:eastAsiaTheme="majorEastAsia"/>
          <w:b/>
          <w:sz w:val="36"/>
          <w:szCs w:val="36"/>
          <w:highlight w:val="none"/>
          <w:lang w:eastAsia="zh-CN"/>
        </w:rPr>
      </w:pPr>
      <w:r>
        <w:rPr>
          <w:rFonts w:ascii="宋体" w:hAnsi="宋体" w:cs="宋体"/>
          <w:b/>
          <w:color w:val="000000" w:themeColor="text1"/>
          <w:sz w:val="28"/>
          <w:highlight w:val="none"/>
          <w14:textFill>
            <w14:solidFill>
              <w14:schemeClr w14:val="tx1"/>
            </w14:solidFill>
          </w14:textFill>
        </w:rPr>
        <w:t>项目编号：</w:t>
      </w:r>
      <w:r>
        <w:rPr>
          <w:rFonts w:hint="eastAsia" w:asciiTheme="majorEastAsia" w:hAnsiTheme="majorEastAsia" w:eastAsiaTheme="majorEastAsia"/>
          <w:b/>
          <w:sz w:val="36"/>
          <w:szCs w:val="36"/>
          <w:highlight w:val="none"/>
        </w:rPr>
        <w:t>NYCG2026-H019</w:t>
      </w:r>
      <w:r>
        <w:rPr>
          <w:rFonts w:asciiTheme="majorEastAsia" w:hAnsiTheme="majorEastAsia" w:eastAsiaTheme="majorEastAsia"/>
          <w:b/>
          <w:sz w:val="36"/>
          <w:szCs w:val="36"/>
          <w:highlight w:val="none"/>
        </w:rPr>
        <w:t>/</w:t>
      </w:r>
      <w:r>
        <w:rPr>
          <w:rFonts w:hint="eastAsia" w:asciiTheme="majorEastAsia" w:hAnsiTheme="majorEastAsia" w:eastAsiaTheme="majorEastAsia"/>
          <w:b/>
          <w:sz w:val="36"/>
          <w:szCs w:val="36"/>
          <w:highlight w:val="none"/>
          <w:lang w:eastAsia="zh-CN"/>
        </w:rPr>
        <w:t>GPDI-NJ-2026-04577</w:t>
      </w:r>
    </w:p>
    <w:p w14:paraId="0FAE0EE1">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237D9599">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23E0C97A">
      <w:pPr>
        <w:spacing w:line="360" w:lineRule="auto"/>
        <w:jc w:val="center"/>
        <w:rPr>
          <w:rFonts w:hint="eastAsia" w:ascii="宋体" w:hAnsi="宋体" w:cs="宋体"/>
          <w:b/>
          <w:color w:val="000000" w:themeColor="text1"/>
          <w:sz w:val="36"/>
          <w:highlight w:val="none"/>
          <w14:textFill>
            <w14:solidFill>
              <w14:schemeClr w14:val="tx1"/>
            </w14:solidFill>
          </w14:textFill>
        </w:rPr>
      </w:pPr>
    </w:p>
    <w:p w14:paraId="019E1E52">
      <w:pPr>
        <w:pStyle w:val="17"/>
        <w:spacing w:line="360" w:lineRule="auto"/>
        <w:ind w:firstLine="480"/>
        <w:jc w:val="center"/>
        <w:rPr>
          <w:rFonts w:hint="eastAsia" w:ascii="宋体" w:hAnsi="宋体"/>
          <w:color w:val="000000" w:themeColor="text1"/>
          <w:highlight w:val="none"/>
          <w14:textFill>
            <w14:solidFill>
              <w14:schemeClr w14:val="tx1"/>
            </w14:solidFill>
          </w14:textFill>
        </w:rPr>
      </w:pPr>
    </w:p>
    <w:p w14:paraId="29FDF0D4">
      <w:pPr>
        <w:spacing w:line="360" w:lineRule="auto"/>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采购人：</w:t>
      </w:r>
      <w:r>
        <w:rPr>
          <w:rFonts w:hint="eastAsia" w:ascii="宋体" w:hAnsi="宋体"/>
          <w:b/>
          <w:color w:val="000000" w:themeColor="text1"/>
          <w:sz w:val="36"/>
          <w:szCs w:val="36"/>
          <w:highlight w:val="none"/>
          <w14:textFill>
            <w14:solidFill>
              <w14:schemeClr w14:val="tx1"/>
            </w14:solidFill>
          </w14:textFill>
        </w:rPr>
        <w:t>南京邮电大学</w:t>
      </w:r>
    </w:p>
    <w:p w14:paraId="0E0CC1F9">
      <w:pPr>
        <w:spacing w:line="360" w:lineRule="auto"/>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采购</w:t>
      </w:r>
      <w:r>
        <w:rPr>
          <w:rFonts w:ascii="宋体" w:hAnsi="宋体" w:cs="宋体"/>
          <w:b/>
          <w:color w:val="000000" w:themeColor="text1"/>
          <w:sz w:val="36"/>
          <w:highlight w:val="none"/>
          <w14:textFill>
            <w14:solidFill>
              <w14:schemeClr w14:val="tx1"/>
            </w14:solidFill>
          </w14:textFill>
        </w:rPr>
        <w:t>代理机构：</w:t>
      </w:r>
      <w:r>
        <w:rPr>
          <w:rFonts w:hint="eastAsia" w:ascii="宋体" w:hAnsi="宋体" w:cs="宋体"/>
          <w:b/>
          <w:color w:val="000000" w:themeColor="text1"/>
          <w:sz w:val="36"/>
          <w:highlight w:val="none"/>
          <w14:textFill>
            <w14:solidFill>
              <w14:schemeClr w14:val="tx1"/>
            </w14:solidFill>
          </w14:textFill>
        </w:rPr>
        <w:t>广东省电信规划设计院有限公司</w:t>
      </w:r>
      <w:r>
        <w:rPr>
          <w:rFonts w:ascii="宋体" w:hAnsi="宋体" w:cs="宋体"/>
          <w:b/>
          <w:color w:val="000000" w:themeColor="text1"/>
          <w:sz w:val="36"/>
          <w:highlight w:val="none"/>
          <w14:textFill>
            <w14:solidFill>
              <w14:schemeClr w14:val="tx1"/>
            </w14:solidFill>
          </w14:textFill>
        </w:rPr>
        <w:t xml:space="preserve"> </w:t>
      </w:r>
    </w:p>
    <w:p w14:paraId="1A7A1AFB">
      <w:pPr>
        <w:spacing w:line="360" w:lineRule="auto"/>
        <w:jc w:val="left"/>
        <w:rPr>
          <w:rFonts w:hint="eastAsia" w:ascii="宋体" w:hAnsi="宋体" w:cs="宋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t>日期：二〇二</w:t>
      </w:r>
      <w:r>
        <w:rPr>
          <w:rFonts w:hint="eastAsia" w:ascii="宋体" w:hAnsi="宋体" w:cs="宋体"/>
          <w:b/>
          <w:color w:val="000000" w:themeColor="text1"/>
          <w:sz w:val="36"/>
          <w:highlight w:val="none"/>
          <w14:textFill>
            <w14:solidFill>
              <w14:schemeClr w14:val="tx1"/>
            </w14:solidFill>
          </w14:textFill>
        </w:rPr>
        <w:t>六</w:t>
      </w:r>
      <w:r>
        <w:rPr>
          <w:rFonts w:ascii="宋体" w:hAnsi="宋体" w:cs="宋体"/>
          <w:b/>
          <w:color w:val="000000" w:themeColor="text1"/>
          <w:sz w:val="36"/>
          <w:highlight w:val="none"/>
          <w14:textFill>
            <w14:solidFill>
              <w14:schemeClr w14:val="tx1"/>
            </w14:solidFill>
          </w14:textFill>
        </w:rPr>
        <w:t>年</w:t>
      </w:r>
      <w:r>
        <w:rPr>
          <w:rFonts w:hint="eastAsia" w:ascii="宋体" w:hAnsi="宋体" w:cs="宋体"/>
          <w:b/>
          <w:color w:val="000000" w:themeColor="text1"/>
          <w:sz w:val="36"/>
          <w:highlight w:val="none"/>
          <w14:textFill>
            <w14:solidFill>
              <w14:schemeClr w14:val="tx1"/>
            </w14:solidFill>
          </w14:textFill>
        </w:rPr>
        <w:t>七</w:t>
      </w:r>
      <w:r>
        <w:rPr>
          <w:rFonts w:ascii="宋体" w:hAnsi="宋体" w:cs="宋体"/>
          <w:b/>
          <w:color w:val="000000" w:themeColor="text1"/>
          <w:sz w:val="36"/>
          <w:highlight w:val="none"/>
          <w14:textFill>
            <w14:solidFill>
              <w14:schemeClr w14:val="tx1"/>
            </w14:solidFill>
          </w14:textFill>
        </w:rPr>
        <w:t>月</w:t>
      </w:r>
    </w:p>
    <w:p w14:paraId="5969BCC7">
      <w:pPr>
        <w:spacing w:line="360" w:lineRule="auto"/>
        <w:jc w:val="center"/>
        <w:outlineLvl w:val="0"/>
        <w:rPr>
          <w:rFonts w:hint="eastAsia" w:ascii="宋体" w:hAnsi="宋体" w:cs="黑体"/>
          <w:b/>
          <w:color w:val="000000" w:themeColor="text1"/>
          <w:sz w:val="36"/>
          <w:highlight w:val="none"/>
          <w14:textFill>
            <w14:solidFill>
              <w14:schemeClr w14:val="tx1"/>
            </w14:solidFill>
          </w14:textFill>
        </w:rPr>
      </w:pPr>
      <w:r>
        <w:rPr>
          <w:rFonts w:ascii="宋体" w:hAnsi="宋体" w:cs="宋体"/>
          <w:b/>
          <w:color w:val="000000" w:themeColor="text1"/>
          <w:sz w:val="36"/>
          <w:highlight w:val="none"/>
          <w14:textFill>
            <w14:solidFill>
              <w14:schemeClr w14:val="tx1"/>
            </w14:solidFill>
          </w14:textFill>
        </w:rPr>
        <w:br w:type="page"/>
      </w:r>
      <w:r>
        <w:rPr>
          <w:rFonts w:hint="eastAsia" w:ascii="宋体" w:hAnsi="宋体" w:cs="黑体"/>
          <w:b/>
          <w:color w:val="000000" w:themeColor="text1"/>
          <w:sz w:val="36"/>
          <w:highlight w:val="none"/>
          <w:lang w:val="zh-CN"/>
          <w14:textFill>
            <w14:solidFill>
              <w14:schemeClr w14:val="tx1"/>
            </w14:solidFill>
          </w14:textFill>
        </w:rPr>
        <w:t>第一章</w:t>
      </w:r>
      <w:r>
        <w:rPr>
          <w:rFonts w:hint="eastAsia" w:ascii="宋体" w:hAnsi="宋体" w:cs="黑体"/>
          <w:b/>
          <w:color w:val="000000" w:themeColor="text1"/>
          <w:sz w:val="36"/>
          <w:highlight w:val="none"/>
          <w14:textFill>
            <w14:solidFill>
              <w14:schemeClr w14:val="tx1"/>
            </w14:solidFill>
          </w14:textFill>
        </w:rPr>
        <w:t xml:space="preserve"> 公开比选公告</w:t>
      </w:r>
    </w:p>
    <w:p w14:paraId="487BF938">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项目基本情况</w:t>
      </w:r>
    </w:p>
    <w:p w14:paraId="5714B01C">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项目编号：</w:t>
      </w:r>
      <w:r>
        <w:rPr>
          <w:rFonts w:hint="eastAsia" w:asciiTheme="majorEastAsia" w:hAnsiTheme="majorEastAsia" w:eastAsiaTheme="majorEastAsia"/>
          <w:szCs w:val="24"/>
          <w:highlight w:val="none"/>
        </w:rPr>
        <w:t>NYCG2026-H019/</w:t>
      </w:r>
      <w:r>
        <w:rPr>
          <w:rFonts w:hint="eastAsia" w:asciiTheme="majorEastAsia" w:hAnsiTheme="majorEastAsia" w:eastAsiaTheme="majorEastAsia"/>
          <w:szCs w:val="24"/>
          <w:highlight w:val="none"/>
          <w:lang w:eastAsia="zh-CN"/>
        </w:rPr>
        <w:t>GPDI-NJ-2026-04577</w:t>
      </w:r>
      <w:r>
        <w:rPr>
          <w:color w:val="000000" w:themeColor="text1"/>
          <w:highlight w:val="none"/>
          <w14:textFill>
            <w14:solidFill>
              <w14:schemeClr w14:val="tx1"/>
            </w14:solidFill>
          </w14:textFill>
        </w:rPr>
        <w:t>；</w:t>
      </w:r>
    </w:p>
    <w:p w14:paraId="4FB5090C">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项目名称：</w:t>
      </w:r>
      <w:r>
        <w:rPr>
          <w:rFonts w:hint="eastAsia" w:asciiTheme="majorEastAsia" w:hAnsiTheme="majorEastAsia" w:eastAsiaTheme="majorEastAsia"/>
          <w:szCs w:val="24"/>
          <w:highlight w:val="none"/>
          <w:lang w:eastAsia="zh-CN"/>
        </w:rPr>
        <w:t>南京邮电大学材料科学与工程学院能量色散型X射线荧光光谱仪采购项目（第二次）</w:t>
      </w:r>
      <w:r>
        <w:rPr>
          <w:color w:val="000000" w:themeColor="text1"/>
          <w:highlight w:val="none"/>
          <w14:textFill>
            <w14:solidFill>
              <w14:schemeClr w14:val="tx1"/>
            </w14:solidFill>
          </w14:textFill>
        </w:rPr>
        <w:t>；</w:t>
      </w:r>
    </w:p>
    <w:p w14:paraId="6F28FA42">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预算金额：</w:t>
      </w:r>
      <w:r>
        <w:rPr>
          <w:rFonts w:hint="eastAsia"/>
          <w:color w:val="000000" w:themeColor="text1"/>
          <w:highlight w:val="none"/>
          <w14:textFill>
            <w14:solidFill>
              <w14:schemeClr w14:val="tx1"/>
            </w14:solidFill>
          </w14:textFill>
        </w:rPr>
        <w:t>60</w:t>
      </w:r>
      <w:r>
        <w:rPr>
          <w:color w:val="000000" w:themeColor="text1"/>
          <w:highlight w:val="none"/>
          <w14:textFill>
            <w14:solidFill>
              <w14:schemeClr w14:val="tx1"/>
            </w14:solidFill>
          </w14:textFill>
        </w:rPr>
        <w:t>万元；</w:t>
      </w:r>
    </w:p>
    <w:p w14:paraId="12159B3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最高限价：</w:t>
      </w:r>
      <w:r>
        <w:rPr>
          <w:rFonts w:hint="eastAsia"/>
          <w:color w:val="000000" w:themeColor="text1"/>
          <w:highlight w:val="none"/>
          <w14:textFill>
            <w14:solidFill>
              <w14:schemeClr w14:val="tx1"/>
            </w14:solidFill>
          </w14:textFill>
        </w:rPr>
        <w:t>60</w:t>
      </w:r>
      <w:r>
        <w:rPr>
          <w:color w:val="000000" w:themeColor="text1"/>
          <w:highlight w:val="none"/>
          <w14:textFill>
            <w14:solidFill>
              <w14:schemeClr w14:val="tx1"/>
            </w14:solidFill>
          </w14:textFill>
        </w:rPr>
        <w:t>万元</w:t>
      </w:r>
      <w:r>
        <w:rPr>
          <w:rFonts w:hint="eastAsia"/>
          <w:color w:val="000000" w:themeColor="text1"/>
          <w:highlight w:val="none"/>
          <w14:textFill>
            <w14:solidFill>
              <w14:schemeClr w14:val="tx1"/>
            </w14:solidFill>
          </w14:textFill>
        </w:rPr>
        <w:t>，响应报价超过单价最高限价的，响应文件作无效处理。</w:t>
      </w:r>
    </w:p>
    <w:p w14:paraId="61F00303">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采购方式：公开</w:t>
      </w:r>
      <w:r>
        <w:rPr>
          <w:rFonts w:hint="eastAsia"/>
          <w:color w:val="000000" w:themeColor="text1"/>
          <w:highlight w:val="none"/>
          <w14:textFill>
            <w14:solidFill>
              <w14:schemeClr w14:val="tx1"/>
            </w14:solidFill>
          </w14:textFill>
        </w:rPr>
        <w:t>比选</w:t>
      </w:r>
      <w:r>
        <w:rPr>
          <w:color w:val="000000" w:themeColor="text1"/>
          <w:highlight w:val="none"/>
          <w14:textFill>
            <w14:solidFill>
              <w14:schemeClr w14:val="tx1"/>
            </w14:solidFill>
          </w14:textFill>
        </w:rPr>
        <w:t>；</w:t>
      </w:r>
    </w:p>
    <w:p w14:paraId="4FB08439">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采购需求：</w:t>
      </w:r>
      <w:r>
        <w:rPr>
          <w:rFonts w:hint="eastAsia" w:asciiTheme="majorEastAsia" w:hAnsiTheme="majorEastAsia" w:eastAsiaTheme="majorEastAsia"/>
          <w:szCs w:val="24"/>
          <w:highlight w:val="none"/>
          <w:lang w:eastAsia="zh-CN"/>
        </w:rPr>
        <w:t>南京邮电大学材料科学与工程学院能量色散型X射线荧光光谱仪采购项目（第二次）</w:t>
      </w:r>
      <w:r>
        <w:rPr>
          <w:color w:val="000000" w:themeColor="text1"/>
          <w:highlight w:val="none"/>
          <w14:textFill>
            <w14:solidFill>
              <w14:schemeClr w14:val="tx1"/>
            </w14:solidFill>
          </w14:textFill>
        </w:rPr>
        <w:t>，具体详见采购文件。</w:t>
      </w:r>
    </w:p>
    <w:p w14:paraId="41CD5B65">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合同履行期限：</w:t>
      </w:r>
      <w:r>
        <w:rPr>
          <w:rFonts w:hint="eastAsia"/>
          <w:color w:val="000000" w:themeColor="text1"/>
          <w:highlight w:val="none"/>
          <w14:textFill>
            <w14:solidFill>
              <w14:schemeClr w14:val="tx1"/>
            </w14:solidFill>
          </w14:textFill>
        </w:rPr>
        <w:t>合同签订后三个月内完成供货、安装、调试及交付使用</w:t>
      </w:r>
      <w:r>
        <w:rPr>
          <w:rFonts w:hint="eastAsia" w:ascii="宋体" w:hAnsi="宋体" w:cs="宋体"/>
          <w:highlight w:val="none"/>
        </w:rPr>
        <w:t>。</w:t>
      </w:r>
    </w:p>
    <w:p w14:paraId="7E37FF9D">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本项目是否接受联合体响应：不接受。</w:t>
      </w:r>
    </w:p>
    <w:p w14:paraId="455626A4">
      <w:pPr>
        <w:pStyle w:val="17"/>
        <w:numPr>
          <w:ilvl w:val="0"/>
          <w:numId w:val="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本项目是否接受进口产品响应：</w:t>
      </w:r>
      <w:r>
        <w:rPr>
          <w:rFonts w:hint="eastAsia"/>
          <w:color w:val="000000" w:themeColor="text1"/>
          <w:highlight w:val="none"/>
          <w14:textFill>
            <w14:solidFill>
              <w14:schemeClr w14:val="tx1"/>
            </w14:solidFill>
          </w14:textFill>
        </w:rPr>
        <w:t>接受</w:t>
      </w:r>
      <w:r>
        <w:rPr>
          <w:rFonts w:hint="eastAsia" w:ascii="宋体" w:hAnsi="宋体" w:cs="宋体"/>
          <w:szCs w:val="24"/>
          <w:highlight w:val="none"/>
        </w:rPr>
        <w:t>（注：本文件所称进口产品是指通过中国海关报关验放进入中国境内且产自关境外的产品）</w:t>
      </w:r>
      <w:r>
        <w:rPr>
          <w:color w:val="000000" w:themeColor="text1"/>
          <w:highlight w:val="none"/>
          <w14:textFill>
            <w14:solidFill>
              <w14:schemeClr w14:val="tx1"/>
            </w14:solidFill>
          </w14:textFill>
        </w:rPr>
        <w:t>。</w:t>
      </w:r>
    </w:p>
    <w:p w14:paraId="15153E1E">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申请人的资格要求：</w:t>
      </w:r>
    </w:p>
    <w:p w14:paraId="6AFCC4E3">
      <w:pPr>
        <w:pStyle w:val="17"/>
        <w:numPr>
          <w:ilvl w:val="0"/>
          <w:numId w:val="4"/>
        </w:numPr>
        <w:spacing w:line="360" w:lineRule="auto"/>
        <w:ind w:firstLineChars="0"/>
        <w:rPr>
          <w:bCs/>
          <w:color w:val="000000" w:themeColor="text1"/>
          <w:highlight w:val="none"/>
          <w14:textFill>
            <w14:solidFill>
              <w14:schemeClr w14:val="tx1"/>
            </w14:solidFill>
          </w14:textFill>
        </w:rPr>
      </w:pPr>
      <w:r>
        <w:rPr>
          <w:bCs/>
          <w:color w:val="000000" w:themeColor="text1"/>
          <w:highlight w:val="none"/>
          <w14:textFill>
            <w14:solidFill>
              <w14:schemeClr w14:val="tx1"/>
            </w14:solidFill>
          </w14:textFill>
        </w:rPr>
        <w:t>满足《中华人民共和国政府采购法》第二十二条规定：</w:t>
      </w:r>
    </w:p>
    <w:p w14:paraId="7E1A16F2">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49EF4410">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r>
        <w:rPr>
          <w:rFonts w:hint="eastAsia"/>
          <w:color w:val="000000" w:themeColor="text1"/>
          <w:highlight w:val="none"/>
          <w14:textFill>
            <w14:solidFill>
              <w14:schemeClr w14:val="tx1"/>
            </w14:solidFill>
          </w14:textFill>
        </w:rPr>
        <w:t>2025年度的审计报告复印件加盖公章或响应截止时间前半年内</w:t>
      </w:r>
      <w:r>
        <w:rPr>
          <w:rFonts w:hint="eastAsia"/>
          <w:color w:val="000000" w:themeColor="text1"/>
          <w:szCs w:val="24"/>
          <w:highlight w:val="none"/>
          <w14:textFill>
            <w14:solidFill>
              <w14:schemeClr w14:val="tx1"/>
            </w14:solidFill>
          </w14:textFill>
        </w:rPr>
        <w:t>（2026年1月至2026年6月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7B130748">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240B3D75">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（2026年1月至2026年6月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5E418559">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12A58AFD">
      <w:pPr>
        <w:pStyle w:val="17"/>
        <w:numPr>
          <w:ilvl w:val="0"/>
          <w:numId w:val="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73D1D5B6">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本项目的特定资格要求：</w:t>
      </w:r>
      <w:r>
        <w:rPr>
          <w:rFonts w:hint="eastAsia" w:ascii="宋体" w:hAnsi="宋体" w:cs="宋体"/>
          <w:highlight w:val="none"/>
        </w:rPr>
        <w:t>本项目接受进口产品，所投设备若是进口产品，须提供制造商授权证明 （提供针对本项目的专项授权书或有效的产品代理证书复印件加盖供应商公章）。</w:t>
      </w:r>
    </w:p>
    <w:p w14:paraId="5400A419">
      <w:pPr>
        <w:pStyle w:val="17"/>
        <w:numPr>
          <w:ilvl w:val="0"/>
          <w:numId w:val="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拒绝下述供应商参加本次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w:t>
      </w:r>
    </w:p>
    <w:p w14:paraId="37A42C0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3039ACF6">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2FAD177C">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1E6AB9C7">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获取采购文件</w:t>
      </w:r>
    </w:p>
    <w:p w14:paraId="7F65D6F0">
      <w:pPr>
        <w:pStyle w:val="17"/>
        <w:numPr>
          <w:ilvl w:val="0"/>
          <w:numId w:val="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时间：202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22</w:t>
      </w:r>
      <w:r>
        <w:rPr>
          <w:color w:val="000000" w:themeColor="text1"/>
          <w:highlight w:val="none"/>
          <w14:textFill>
            <w14:solidFill>
              <w14:schemeClr w14:val="tx1"/>
            </w14:solidFill>
          </w14:textFill>
        </w:rPr>
        <w:t>日上午09:00至202</w:t>
      </w:r>
      <w:r>
        <w:rPr>
          <w:rFonts w:hint="eastAsia"/>
          <w:color w:val="000000" w:themeColor="text1"/>
          <w:highlight w:val="none"/>
          <w14:textFill>
            <w14:solidFill>
              <w14:schemeClr w14:val="tx1"/>
            </w14:solidFill>
          </w14:textFill>
        </w:rPr>
        <w:t>6</w:t>
      </w:r>
      <w:r>
        <w:rPr>
          <w:color w:val="000000" w:themeColor="text1"/>
          <w:highlight w:val="none"/>
          <w14:textFill>
            <w14:solidFill>
              <w14:schemeClr w14:val="tx1"/>
            </w14:solidFill>
          </w14:textFill>
        </w:rPr>
        <w:t>年</w:t>
      </w:r>
      <w:r>
        <w:rPr>
          <w:rFonts w:hint="eastAsia"/>
          <w:color w:val="000000" w:themeColor="text1"/>
          <w:highlight w:val="none"/>
          <w14:textFill>
            <w14:solidFill>
              <w14:schemeClr w14:val="tx1"/>
            </w14:solidFill>
          </w14:textFill>
        </w:rPr>
        <w:t>7</w:t>
      </w:r>
      <w:r>
        <w:rPr>
          <w:color w:val="000000" w:themeColor="text1"/>
          <w:highlight w:val="none"/>
          <w14:textFill>
            <w14:solidFill>
              <w14:schemeClr w14:val="tx1"/>
            </w14:solidFill>
          </w14:textFill>
        </w:rPr>
        <w:t>月</w:t>
      </w:r>
      <w:r>
        <w:rPr>
          <w:rFonts w:hint="eastAsia"/>
          <w:color w:val="000000" w:themeColor="text1"/>
          <w:highlight w:val="none"/>
          <w:lang w:val="en-US" w:eastAsia="zh-CN"/>
          <w14:textFill>
            <w14:solidFill>
              <w14:schemeClr w14:val="tx1"/>
            </w14:solidFill>
          </w14:textFill>
        </w:rPr>
        <w:t>28</w:t>
      </w:r>
      <w:r>
        <w:rPr>
          <w:color w:val="000000" w:themeColor="text1"/>
          <w:highlight w:val="none"/>
          <w14:textFill>
            <w14:solidFill>
              <w14:schemeClr w14:val="tx1"/>
            </w14:solidFill>
          </w14:textFill>
        </w:rPr>
        <w:t>日17:00（北京时间）</w:t>
      </w:r>
    </w:p>
    <w:p w14:paraId="00F3B89E">
      <w:pPr>
        <w:pStyle w:val="17"/>
        <w:numPr>
          <w:ilvl w:val="0"/>
          <w:numId w:val="6"/>
        </w:numPr>
        <w:spacing w:line="360" w:lineRule="auto"/>
        <w:ind w:firstLineChars="0"/>
        <w:rPr>
          <w:rFonts w:hint="eastAsia" w:asciiTheme="majorEastAsia" w:hAnsiTheme="majorEastAsia" w:eastAsiaTheme="majorEastAsia"/>
          <w:szCs w:val="24"/>
          <w:highlight w:val="none"/>
        </w:rPr>
      </w:pPr>
      <w:r>
        <w:rPr>
          <w:color w:val="000000" w:themeColor="text1"/>
          <w:highlight w:val="none"/>
          <w14:textFill>
            <w14:solidFill>
              <w14:schemeClr w14:val="tx1"/>
            </w14:solidFill>
          </w14:textFill>
        </w:rPr>
        <w:t xml:space="preserve">获取方式： </w:t>
      </w:r>
      <w:r>
        <w:rPr>
          <w:rFonts w:asciiTheme="majorEastAsia" w:hAnsiTheme="majorEastAsia" w:eastAsiaTheme="majorEastAsia"/>
          <w:szCs w:val="24"/>
          <w:highlight w:val="none"/>
        </w:rPr>
        <w:t>通过“</w:t>
      </w:r>
      <w:r>
        <w:rPr>
          <w:rFonts w:hint="eastAsia" w:asciiTheme="majorEastAsia" w:hAnsiTheme="majorEastAsia" w:eastAsiaTheme="majorEastAsia"/>
          <w:szCs w:val="24"/>
          <w:highlight w:val="none"/>
        </w:rPr>
        <w:t>采购</w:t>
      </w:r>
      <w:r>
        <w:rPr>
          <w:rFonts w:asciiTheme="majorEastAsia" w:hAnsiTheme="majorEastAsia" w:eastAsiaTheme="majorEastAsia"/>
          <w:szCs w:val="24"/>
          <w:highlight w:val="none"/>
        </w:rPr>
        <w:t>代理机构”的电子平台获取</w:t>
      </w:r>
      <w:r>
        <w:rPr>
          <w:rFonts w:hint="eastAsia" w:asciiTheme="majorEastAsia" w:hAnsiTheme="majorEastAsia" w:eastAsiaTheme="majorEastAsia"/>
          <w:szCs w:val="24"/>
          <w:highlight w:val="none"/>
        </w:rPr>
        <w:t>公开比选</w:t>
      </w:r>
      <w:r>
        <w:rPr>
          <w:rFonts w:asciiTheme="majorEastAsia" w:hAnsiTheme="majorEastAsia" w:eastAsiaTheme="majorEastAsia"/>
          <w:szCs w:val="24"/>
          <w:highlight w:val="none"/>
        </w:rPr>
        <w:t>文件。</w:t>
      </w:r>
    </w:p>
    <w:p w14:paraId="20FE2997">
      <w:pPr>
        <w:adjustRightInd w:val="0"/>
        <w:snapToGrid w:val="0"/>
        <w:spacing w:line="360" w:lineRule="auto"/>
        <w:ind w:firstLine="480"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sz w:val="24"/>
          <w:szCs w:val="24"/>
          <w:highlight w:val="none"/>
        </w:rPr>
        <w:t>方式：线上购买，售价 500 元（人民币），售后不退。通过“</w:t>
      </w:r>
      <w:r>
        <w:rPr>
          <w:rFonts w:hint="eastAsia" w:asciiTheme="majorEastAsia" w:hAnsiTheme="majorEastAsia" w:eastAsiaTheme="majorEastAsia"/>
          <w:sz w:val="24"/>
          <w:szCs w:val="24"/>
          <w:highlight w:val="none"/>
        </w:rPr>
        <w:t>采购</w:t>
      </w:r>
      <w:r>
        <w:rPr>
          <w:rFonts w:asciiTheme="majorEastAsia" w:hAnsiTheme="majorEastAsia" w:eastAsiaTheme="majorEastAsia"/>
          <w:sz w:val="24"/>
          <w:szCs w:val="24"/>
          <w:highlight w:val="none"/>
        </w:rPr>
        <w:t>代理机构”的电子平台进行文件费支付及网上获取比选文件。通过以下两种方式之一（a或b）即可进行费用支付。</w:t>
      </w:r>
    </w:p>
    <w:p w14:paraId="518E556E">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a.手机端：</w:t>
      </w:r>
      <w:r>
        <w:rPr>
          <w:rFonts w:asciiTheme="majorEastAsia" w:hAnsiTheme="majorEastAsia" w:eastAsiaTheme="majorEastAsia"/>
          <w:sz w:val="24"/>
          <w:szCs w:val="24"/>
          <w:highlight w:val="none"/>
        </w:rPr>
        <w:t>获取时间内关注微信公众号“采易招”点击“公共服务”</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“投标登记”</w:t>
      </w:r>
      <w:r>
        <w:rPr>
          <w:rFonts w:hint="eastAsia" w:asciiTheme="majorEastAsia" w:hAnsiTheme="majorEastAsia" w:eastAsiaTheme="majorEastAsia"/>
          <w:sz w:val="24"/>
          <w:szCs w:val="24"/>
          <w:highlight w:val="none"/>
        </w:rPr>
        <w:t>－</w:t>
      </w:r>
      <w:r>
        <w:rPr>
          <w:rFonts w:asciiTheme="majorEastAsia" w:hAnsiTheme="majorEastAsia" w:eastAsiaTheme="majorEastAsia"/>
          <w:sz w:val="24"/>
          <w:szCs w:val="24"/>
          <w:highlight w:val="none"/>
        </w:rPr>
        <w:t>“公开项目/邀请项目”找到相应的项目进行登记，并进行报名材料上传及支付。</w:t>
      </w:r>
    </w:p>
    <w:p w14:paraId="5C703E8E">
      <w:pPr>
        <w:adjustRightInd w:val="0"/>
        <w:snapToGrid w:val="0"/>
        <w:spacing w:line="360" w:lineRule="auto"/>
        <w:ind w:firstLine="482" w:firstLineChars="200"/>
        <w:jc w:val="left"/>
        <w:rPr>
          <w:rFonts w:hint="eastAsia" w:asciiTheme="majorEastAsia" w:hAnsiTheme="majorEastAsia" w:eastAsiaTheme="majorEastAsia"/>
          <w:sz w:val="24"/>
          <w:szCs w:val="24"/>
          <w:highlight w:val="none"/>
        </w:rPr>
      </w:pPr>
      <w:r>
        <w:rPr>
          <w:rFonts w:asciiTheme="majorEastAsia" w:hAnsiTheme="majorEastAsia" w:eastAsiaTheme="majorEastAsia"/>
          <w:b/>
          <w:bCs/>
          <w:sz w:val="24"/>
          <w:szCs w:val="24"/>
          <w:highlight w:val="none"/>
        </w:rPr>
        <w:t>b.PC端：</w:t>
      </w:r>
      <w:r>
        <w:rPr>
          <w:rFonts w:hint="eastAsia" w:asciiTheme="majorEastAsia" w:hAnsiTheme="majorEastAsia" w:eastAsiaTheme="majorEastAsia"/>
          <w:sz w:val="24"/>
          <w:szCs w:val="24"/>
          <w:highlight w:val="none"/>
        </w:rPr>
        <w:t>输入“采易招”网址（https://www.gpdi.com/homepage)，注册登录（步骤</w:t>
      </w:r>
    </w:p>
    <w:p w14:paraId="591CAACC">
      <w:pPr>
        <w:adjustRightInd w:val="0"/>
        <w:snapToGrid w:val="0"/>
        <w:spacing w:line="360" w:lineRule="auto"/>
        <w:jc w:val="left"/>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详细操作指引见“采易招”电子采购与招标平台(https://www.gpdi.com/homepage)--服务指南--供应商操作手册）后，点击“我要报名”找到相应的项目进行登记，并进行报名材料上传及支付、文件的自助获取。</w:t>
      </w:r>
    </w:p>
    <w:p w14:paraId="3BD12C73">
      <w:pPr>
        <w:spacing w:line="360" w:lineRule="auto"/>
        <w:ind w:firstLine="480" w:firstLineChars="200"/>
        <w:rPr>
          <w:rFonts w:hint="eastAsia" w:asciiTheme="majorEastAsia" w:hAnsiTheme="majorEastAsia" w:eastAsiaTheme="majorEastAsia"/>
          <w:sz w:val="24"/>
          <w:szCs w:val="24"/>
          <w:highlight w:val="none"/>
        </w:rPr>
      </w:pPr>
      <w:r>
        <w:rPr>
          <w:rFonts w:hint="eastAsia" w:asciiTheme="majorEastAsia" w:hAnsiTheme="majorEastAsia" w:eastAsiaTheme="majorEastAsia"/>
          <w:sz w:val="24"/>
          <w:szCs w:val="24"/>
          <w:highlight w:val="none"/>
        </w:rPr>
        <w:t>注:“采易招”IT 支撑QQ:2604586483（工作日9:00-12:00，下午2:30-5:30），该QQ仅解决“采易</w:t>
      </w:r>
      <w:r>
        <w:rPr>
          <w:rFonts w:asciiTheme="majorEastAsia" w:hAnsiTheme="majorEastAsia" w:eastAsiaTheme="majorEastAsia"/>
          <w:sz w:val="24"/>
          <w:szCs w:val="24"/>
          <w:highlight w:val="none"/>
        </w:rPr>
        <w:t>招</w:t>
      </w:r>
      <w:r>
        <w:rPr>
          <w:rFonts w:hint="eastAsia" w:asciiTheme="majorEastAsia" w:hAnsiTheme="majorEastAsia" w:eastAsiaTheme="majorEastAsia"/>
          <w:sz w:val="24"/>
          <w:szCs w:val="24"/>
          <w:highlight w:val="none"/>
        </w:rPr>
        <w:t>”系统问题，业务相关问题请详询公告“八、对本次采购提出询问，请按以下方式联系。”中的联系人。</w:t>
      </w:r>
    </w:p>
    <w:p w14:paraId="62A3178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未按照上述要求合法获取采购文件的，采购人将不予受理其响应。</w:t>
      </w:r>
    </w:p>
    <w:p w14:paraId="25CAC1D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售价：500元，本</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公告包含的采购文件售价总和。</w:t>
      </w:r>
    </w:p>
    <w:p w14:paraId="6E7BB54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提交响应文件截止时间、</w:t>
      </w: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时间和地点</w:t>
      </w:r>
    </w:p>
    <w:p w14:paraId="1AE6C3B5">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递交响应文件开始时间：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30</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0</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21EEB8EB">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递交响应文件截止时间及</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时间：</w:t>
      </w:r>
      <w:r>
        <w:rPr>
          <w:color w:val="000000" w:themeColor="text1"/>
          <w:highlight w:val="none"/>
          <w:u w:val="single"/>
          <w14:textFill>
            <w14:solidFill>
              <w14:schemeClr w14:val="tx1"/>
            </w14:solidFill>
          </w14:textFill>
        </w:rPr>
        <w:t>202</w:t>
      </w:r>
      <w:r>
        <w:rPr>
          <w:rFonts w:hint="eastAsia"/>
          <w:color w:val="000000" w:themeColor="text1"/>
          <w:highlight w:val="none"/>
          <w:u w:val="single"/>
          <w14:textFill>
            <w14:solidFill>
              <w14:schemeClr w14:val="tx1"/>
            </w14:solidFill>
          </w14:textFill>
        </w:rPr>
        <w:t>6</w:t>
      </w:r>
      <w:r>
        <w:rPr>
          <w:color w:val="000000" w:themeColor="text1"/>
          <w:highlight w:val="none"/>
          <w:u w:val="single"/>
          <w14:textFill>
            <w14:solidFill>
              <w14:schemeClr w14:val="tx1"/>
            </w14:solidFill>
          </w14:textFill>
        </w:rPr>
        <w:t>年</w:t>
      </w:r>
      <w:r>
        <w:rPr>
          <w:rFonts w:hint="eastAsia"/>
          <w:color w:val="000000" w:themeColor="text1"/>
          <w:highlight w:val="none"/>
          <w:u w:val="single"/>
          <w14:textFill>
            <w14:solidFill>
              <w14:schemeClr w14:val="tx1"/>
            </w14:solidFill>
          </w14:textFill>
        </w:rPr>
        <w:t>7</w:t>
      </w:r>
      <w:r>
        <w:rPr>
          <w:color w:val="000000" w:themeColor="text1"/>
          <w:highlight w:val="none"/>
          <w:u w:val="single"/>
          <w14:textFill>
            <w14:solidFill>
              <w14:schemeClr w14:val="tx1"/>
            </w14:solidFill>
          </w14:textFill>
        </w:rPr>
        <w:t>月</w:t>
      </w:r>
      <w:r>
        <w:rPr>
          <w:rFonts w:hint="eastAsia"/>
          <w:color w:val="000000" w:themeColor="text1"/>
          <w:highlight w:val="none"/>
          <w:u w:val="single"/>
          <w:lang w:val="en-US" w:eastAsia="zh-CN"/>
          <w14:textFill>
            <w14:solidFill>
              <w14:schemeClr w14:val="tx1"/>
            </w14:solidFill>
          </w14:textFill>
        </w:rPr>
        <w:t>30</w:t>
      </w:r>
      <w:r>
        <w:rPr>
          <w:color w:val="000000" w:themeColor="text1"/>
          <w:highlight w:val="none"/>
          <w:u w:val="single"/>
          <w14:textFill>
            <w14:solidFill>
              <w14:schemeClr w14:val="tx1"/>
            </w14:solidFill>
          </w14:textFill>
        </w:rPr>
        <w:t>日</w:t>
      </w:r>
      <w:r>
        <w:rPr>
          <w:rFonts w:hint="eastAsia"/>
          <w:color w:val="000000" w:themeColor="text1"/>
          <w:highlight w:val="none"/>
          <w:u w:val="single"/>
          <w:lang w:val="en-US" w:eastAsia="zh-CN"/>
          <w14:textFill>
            <w14:solidFill>
              <w14:schemeClr w14:val="tx1"/>
            </w14:solidFill>
          </w14:textFill>
        </w:rPr>
        <w:t>14</w:t>
      </w:r>
      <w:r>
        <w:rPr>
          <w:color w:val="000000" w:themeColor="text1"/>
          <w:highlight w:val="none"/>
          <w:u w:val="single"/>
          <w14:textFill>
            <w14:solidFill>
              <w14:schemeClr w14:val="tx1"/>
            </w14:solidFill>
          </w14:textFill>
        </w:rPr>
        <w:t>时</w:t>
      </w:r>
      <w:r>
        <w:rPr>
          <w:rFonts w:hint="eastAsia"/>
          <w:color w:val="000000" w:themeColor="text1"/>
          <w:highlight w:val="none"/>
          <w:u w:val="single"/>
          <w:lang w:val="en-US" w:eastAsia="zh-CN"/>
          <w14:textFill>
            <w14:solidFill>
              <w14:schemeClr w14:val="tx1"/>
            </w14:solidFill>
          </w14:textFill>
        </w:rPr>
        <w:t>3</w:t>
      </w:r>
      <w:r>
        <w:rPr>
          <w:rFonts w:hint="eastAsia"/>
          <w:color w:val="000000" w:themeColor="text1"/>
          <w:highlight w:val="none"/>
          <w:u w:val="single"/>
          <w14:textFill>
            <w14:solidFill>
              <w14:schemeClr w14:val="tx1"/>
            </w14:solidFill>
          </w14:textFill>
        </w:rPr>
        <w:t>0</w:t>
      </w:r>
      <w:r>
        <w:rPr>
          <w:color w:val="000000" w:themeColor="text1"/>
          <w:highlight w:val="none"/>
          <w:u w:val="single"/>
          <w14:textFill>
            <w14:solidFill>
              <w14:schemeClr w14:val="tx1"/>
            </w14:solidFill>
          </w14:textFill>
        </w:rPr>
        <w:t>分；</w:t>
      </w:r>
    </w:p>
    <w:p w14:paraId="5E38D1C2">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地点：</w:t>
      </w:r>
      <w:r>
        <w:rPr>
          <w:rFonts w:hint="eastAsia"/>
          <w:color w:val="000000" w:themeColor="text1"/>
          <w:highlight w:val="none"/>
          <w:u w:val="single"/>
          <w14:textFill>
            <w14:solidFill>
              <w14:schemeClr w14:val="tx1"/>
            </w14:solidFill>
          </w14:textFill>
        </w:rPr>
        <w:t>南京邮电大学仙林校区行政</w:t>
      </w:r>
      <w:r>
        <w:rPr>
          <w:rFonts w:hint="eastAsia"/>
          <w:color w:val="000000" w:themeColor="text1"/>
          <w:highlight w:val="none"/>
          <w:u w:val="single"/>
          <w:lang w:val="en-US" w:eastAsia="zh-CN"/>
          <w14:textFill>
            <w14:solidFill>
              <w14:schemeClr w14:val="tx1"/>
            </w14:solidFill>
          </w14:textFill>
        </w:rPr>
        <w:t>北</w:t>
      </w:r>
      <w:r>
        <w:rPr>
          <w:rFonts w:hint="eastAsia"/>
          <w:color w:val="000000" w:themeColor="text1"/>
          <w:highlight w:val="none"/>
          <w:u w:val="single"/>
          <w14:textFill>
            <w14:solidFill>
              <w14:schemeClr w14:val="tx1"/>
            </w14:solidFill>
          </w14:textFill>
        </w:rPr>
        <w:t>楼126会议室（南京市栖霞区文苑路9号）</w:t>
      </w:r>
      <w:r>
        <w:rPr>
          <w:color w:val="000000" w:themeColor="text1"/>
          <w:highlight w:val="none"/>
          <w:u w:val="single"/>
          <w14:textFill>
            <w14:solidFill>
              <w14:schemeClr w14:val="tx1"/>
            </w14:solidFill>
          </w14:textFill>
        </w:rPr>
        <w:t>；</w:t>
      </w:r>
    </w:p>
    <w:p w14:paraId="1790B4DE">
      <w:pPr>
        <w:pStyle w:val="17"/>
        <w:spacing w:line="360" w:lineRule="auto"/>
        <w:ind w:firstLine="480"/>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届时请</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法定代表人或其委托授权代表出席</w:t>
      </w:r>
      <w:r>
        <w:rPr>
          <w:rFonts w:hint="eastAsia"/>
          <w:color w:val="000000" w:themeColor="text1"/>
          <w:highlight w:val="none"/>
          <w14:textFill>
            <w14:solidFill>
              <w14:schemeClr w14:val="tx1"/>
            </w14:solidFill>
          </w14:textFill>
        </w:rPr>
        <w:t>响</w:t>
      </w:r>
    </w:p>
    <w:p w14:paraId="44D3D6C5">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应文件开启</w:t>
      </w:r>
      <w:r>
        <w:rPr>
          <w:color w:val="000000" w:themeColor="text1"/>
          <w:highlight w:val="none"/>
          <w14:textFill>
            <w14:solidFill>
              <w14:schemeClr w14:val="tx1"/>
            </w14:solidFill>
          </w14:textFill>
        </w:rPr>
        <w:t>仪式。</w:t>
      </w:r>
    </w:p>
    <w:p w14:paraId="0DE30E80">
      <w:pPr>
        <w:pStyle w:val="17"/>
        <w:numPr>
          <w:ilvl w:val="0"/>
          <w:numId w:val="2"/>
        </w:numPr>
        <w:spacing w:line="360" w:lineRule="auto"/>
        <w:ind w:firstLineChars="0"/>
        <w:rPr>
          <w:b/>
          <w:color w:val="000000" w:themeColor="text1"/>
          <w:highlight w:val="none"/>
          <w14:textFill>
            <w14:solidFill>
              <w14:schemeClr w14:val="tx1"/>
            </w14:solidFill>
          </w14:textFill>
        </w:rPr>
      </w:pPr>
      <w:bookmarkStart w:id="0" w:name="六、公告期限"/>
      <w:bookmarkEnd w:id="0"/>
      <w:r>
        <w:rPr>
          <w:b/>
          <w:color w:val="000000" w:themeColor="text1"/>
          <w:highlight w:val="none"/>
          <w14:textFill>
            <w14:solidFill>
              <w14:schemeClr w14:val="tx1"/>
            </w14:solidFill>
          </w14:textFill>
        </w:rPr>
        <w:t>公告期限</w:t>
      </w:r>
    </w:p>
    <w:p w14:paraId="5AAFEA30">
      <w:pPr>
        <w:pStyle w:val="17"/>
        <w:spacing w:line="360" w:lineRule="auto"/>
        <w:ind w:firstLine="480"/>
        <w:rPr>
          <w:color w:val="000000" w:themeColor="text1"/>
          <w:highlight w:val="none"/>
          <w14:textFill>
            <w14:solidFill>
              <w14:schemeClr w14:val="tx1"/>
            </w14:solidFill>
          </w14:textFill>
        </w:rPr>
      </w:pPr>
      <w:bookmarkStart w:id="1" w:name="自本公告发布之日起5个工作日。"/>
      <w:bookmarkEnd w:id="1"/>
      <w:r>
        <w:rPr>
          <w:color w:val="000000" w:themeColor="text1"/>
          <w:highlight w:val="none"/>
          <w14:textFill>
            <w14:solidFill>
              <w14:schemeClr w14:val="tx1"/>
            </w14:solidFill>
          </w14:textFill>
        </w:rPr>
        <w:t>自本公告发布之日起5日。</w:t>
      </w:r>
    </w:p>
    <w:p w14:paraId="29B81B4A">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其他补充事宜</w:t>
      </w:r>
    </w:p>
    <w:p w14:paraId="16FBB649">
      <w:pPr>
        <w:pStyle w:val="17"/>
        <w:numPr>
          <w:ilvl w:val="0"/>
          <w:numId w:val="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响应文件份数：一式</w:t>
      </w:r>
      <w:r>
        <w:rPr>
          <w:rFonts w:hint="eastAsia"/>
          <w:color w:val="000000" w:themeColor="text1"/>
          <w:highlight w:val="none"/>
          <w14:textFill>
            <w14:solidFill>
              <w14:schemeClr w14:val="tx1"/>
            </w14:solidFill>
          </w14:textFill>
        </w:rPr>
        <w:t>伍</w:t>
      </w:r>
      <w:r>
        <w:rPr>
          <w:color w:val="000000" w:themeColor="text1"/>
          <w:highlight w:val="none"/>
          <w14:textFill>
            <w14:solidFill>
              <w14:schemeClr w14:val="tx1"/>
            </w14:solidFill>
          </w14:textFill>
        </w:rPr>
        <w:t>份（壹份正本、</w:t>
      </w:r>
      <w:r>
        <w:rPr>
          <w:rFonts w:hint="eastAsia"/>
          <w:color w:val="000000" w:themeColor="text1"/>
          <w:highlight w:val="none"/>
          <w14:textFill>
            <w14:solidFill>
              <w14:schemeClr w14:val="tx1"/>
            </w14:solidFill>
          </w14:textFill>
        </w:rPr>
        <w:t>肆</w:t>
      </w:r>
      <w:r>
        <w:rPr>
          <w:color w:val="000000" w:themeColor="text1"/>
          <w:highlight w:val="none"/>
          <w14:textFill>
            <w14:solidFill>
              <w14:schemeClr w14:val="tx1"/>
            </w14:solidFill>
          </w14:textFill>
        </w:rPr>
        <w:t>份</w:t>
      </w:r>
      <w:r>
        <w:rPr>
          <w:rFonts w:hint="eastAsia"/>
          <w:color w:val="000000" w:themeColor="text1"/>
          <w:highlight w:val="none"/>
          <w14:textFill>
            <w14:solidFill>
              <w14:schemeClr w14:val="tx1"/>
            </w14:solidFill>
          </w14:textFill>
        </w:rPr>
        <w:t>副</w:t>
      </w:r>
      <w:r>
        <w:rPr>
          <w:color w:val="000000" w:themeColor="text1"/>
          <w:highlight w:val="none"/>
          <w14:textFill>
            <w14:solidFill>
              <w14:schemeClr w14:val="tx1"/>
            </w14:solidFill>
          </w14:textFill>
        </w:rPr>
        <w:t>本），电子版响应文件壹份（一般应为PDF格式、U盘形式或光盘形式，随纸质正本文件一并提交）。当纸质正本文件和电子版文件不一致时，以纸质正本文件为准。电子版文件用于存档，</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需承担前述不一致造成的不利后果。每份纸质文件须清楚标明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字样。一旦正本和副本不符，以正本为准。</w:t>
      </w:r>
    </w:p>
    <w:p w14:paraId="518CBE2C">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发布公告的媒介</w:t>
      </w:r>
      <w:bookmarkStart w:id="19" w:name="_GoBack"/>
      <w:bookmarkEnd w:id="19"/>
    </w:p>
    <w:p w14:paraId="1F688BE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本采购公告在南京邮电大学</w:t>
      </w:r>
      <w:r>
        <w:rPr>
          <w:rFonts w:hint="eastAsia"/>
          <w:color w:val="000000" w:themeColor="text1"/>
          <w:highlight w:val="none"/>
          <w14:textFill>
            <w14:solidFill>
              <w14:schemeClr w14:val="tx1"/>
            </w14:solidFill>
          </w14:textFill>
        </w:rPr>
        <w:t>采购招标管理办公室</w:t>
      </w:r>
      <w:r>
        <w:rPr>
          <w:color w:val="000000" w:themeColor="text1"/>
          <w:highlight w:val="none"/>
          <w14:textFill>
            <w14:solidFill>
              <w14:schemeClr w14:val="tx1"/>
            </w14:solidFill>
          </w14:textFill>
        </w:rPr>
        <w:t>网站（https://zbb.njupt.edu.cn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发布，敬请各</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关注。</w:t>
      </w:r>
    </w:p>
    <w:p w14:paraId="08CC08AB">
      <w:pPr>
        <w:pStyle w:val="17"/>
        <w:numPr>
          <w:ilvl w:val="0"/>
          <w:numId w:val="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对本次采购提出询问，请按以下方式联系。</w:t>
      </w:r>
    </w:p>
    <w:p w14:paraId="1675433E">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采购人信息</w:t>
      </w:r>
    </w:p>
    <w:p w14:paraId="2BA1611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名称：南京邮电大学</w:t>
      </w:r>
    </w:p>
    <w:p w14:paraId="69157DD9">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地址：南京市栖霞区文苑路9号</w:t>
      </w:r>
    </w:p>
    <w:p w14:paraId="7889E244">
      <w:pPr>
        <w:pStyle w:val="17"/>
        <w:spacing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联系人：</w:t>
      </w:r>
      <w:r>
        <w:rPr>
          <w:rFonts w:hint="eastAsia"/>
          <w:color w:val="000000" w:themeColor="text1"/>
          <w:highlight w:val="none"/>
          <w14:textFill>
            <w14:solidFill>
              <w14:schemeClr w14:val="tx1"/>
            </w14:solidFill>
          </w14:textFill>
        </w:rPr>
        <w:t>彭</w:t>
      </w:r>
      <w:r>
        <w:rPr>
          <w:color w:val="000000" w:themeColor="text1"/>
          <w:highlight w:val="none"/>
          <w14:textFill>
            <w14:solidFill>
              <w14:schemeClr w14:val="tx1"/>
            </w14:solidFill>
          </w14:textFill>
        </w:rPr>
        <w:t>老师</w:t>
      </w:r>
    </w:p>
    <w:p w14:paraId="5CBA553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025-85866541</w:t>
      </w:r>
    </w:p>
    <w:p w14:paraId="7365262E">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采购代理机构信息</w:t>
      </w:r>
    </w:p>
    <w:p w14:paraId="0A7699D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名称：广东省电信规划设计院有限公司</w:t>
      </w:r>
    </w:p>
    <w:p w14:paraId="02F7980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地址：</w:t>
      </w:r>
      <w:r>
        <w:rPr>
          <w:rFonts w:hint="eastAsia"/>
          <w:color w:val="000000" w:themeColor="text1"/>
          <w:highlight w:val="none"/>
          <w14:textFill>
            <w14:solidFill>
              <w14:schemeClr w14:val="tx1"/>
            </w14:solidFill>
          </w14:textFill>
        </w:rPr>
        <w:t>南京市浦口区万寿路149号万象企业中心B12栋9楼</w:t>
      </w:r>
    </w:p>
    <w:p w14:paraId="6F8F373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联系方式：</w:t>
      </w:r>
      <w:r>
        <w:rPr>
          <w:rFonts w:hint="eastAsia"/>
          <w:color w:val="000000" w:themeColor="text1"/>
          <w:highlight w:val="none"/>
          <w14:textFill>
            <w14:solidFill>
              <w14:schemeClr w14:val="tx1"/>
            </w14:solidFill>
          </w14:textFill>
        </w:rPr>
        <w:t>13776678246</w:t>
      </w:r>
    </w:p>
    <w:p w14:paraId="6446963F">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项目联系方式</w:t>
      </w:r>
    </w:p>
    <w:p w14:paraId="02FEC82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项目联系人：卜彩霞</w:t>
      </w:r>
      <w:r>
        <w:rPr>
          <w:rFonts w:hint="eastAsia"/>
          <w:color w:val="000000" w:themeColor="text1"/>
          <w:highlight w:val="none"/>
          <w14:textFill>
            <w14:solidFill>
              <w14:schemeClr w14:val="tx1"/>
            </w14:solidFill>
          </w14:textFill>
        </w:rPr>
        <w:t>、</w:t>
      </w:r>
      <w:r>
        <w:rPr>
          <w:rFonts w:hint="eastAsia" w:asciiTheme="majorEastAsia" w:hAnsiTheme="majorEastAsia" w:eastAsiaTheme="majorEastAsia"/>
          <w:szCs w:val="24"/>
          <w:highlight w:val="none"/>
        </w:rPr>
        <w:t>严盼盼、</w:t>
      </w:r>
      <w:r>
        <w:rPr>
          <w:rFonts w:hint="eastAsia"/>
          <w:color w:val="000000" w:themeColor="text1"/>
          <w:highlight w:val="none"/>
          <w14:textFill>
            <w14:solidFill>
              <w14:schemeClr w14:val="tx1"/>
            </w14:solidFill>
          </w14:textFill>
        </w:rPr>
        <w:t>王永琰、</w:t>
      </w:r>
      <w:r>
        <w:rPr>
          <w:color w:val="000000" w:themeColor="text1"/>
          <w:highlight w:val="none"/>
          <w14:textFill>
            <w14:solidFill>
              <w14:schemeClr w14:val="tx1"/>
            </w14:solidFill>
          </w14:textFill>
        </w:rPr>
        <w:t>蒋卫林</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徐康康</w:t>
      </w:r>
    </w:p>
    <w:p w14:paraId="03505A4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电话：</w:t>
      </w:r>
      <w:r>
        <w:rPr>
          <w:rFonts w:hint="eastAsia"/>
          <w:color w:val="000000" w:themeColor="text1"/>
          <w:highlight w:val="none"/>
          <w14:textFill>
            <w14:solidFill>
              <w14:schemeClr w14:val="tx1"/>
            </w14:solidFill>
          </w14:textFill>
        </w:rPr>
        <w:t>13776678246</w:t>
      </w:r>
    </w:p>
    <w:p w14:paraId="3CA429CA">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请贵单位领取本次</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文件后，认真阅读各项内容，进行必要的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准备，按文件的要求详细填写和编制响应文件，并按以上确定的时间、地点准时参加</w:t>
      </w:r>
      <w:r>
        <w:rPr>
          <w:rFonts w:hint="eastAsia"/>
          <w:color w:val="000000" w:themeColor="text1"/>
          <w:highlight w:val="none"/>
          <w14:textFill>
            <w14:solidFill>
              <w14:schemeClr w14:val="tx1"/>
            </w14:solidFill>
          </w14:textFill>
        </w:rPr>
        <w:t>采购活动</w:t>
      </w:r>
      <w:r>
        <w:rPr>
          <w:color w:val="000000" w:themeColor="text1"/>
          <w:highlight w:val="none"/>
          <w14:textFill>
            <w14:solidFill>
              <w14:schemeClr w14:val="tx1"/>
            </w14:solidFill>
          </w14:textFill>
        </w:rPr>
        <w:t>。</w:t>
      </w:r>
      <w:bookmarkStart w:id="2" w:name="_Toc35393796"/>
      <w:bookmarkStart w:id="3" w:name="_Toc35393627"/>
      <w:bookmarkStart w:id="4" w:name="_Toc28359085"/>
      <w:bookmarkStart w:id="5" w:name="_Toc28359008"/>
    </w:p>
    <w:bookmarkEnd w:id="2"/>
    <w:bookmarkEnd w:id="3"/>
    <w:bookmarkEnd w:id="4"/>
    <w:bookmarkEnd w:id="5"/>
    <w:p w14:paraId="00E40C9D">
      <w:pPr>
        <w:spacing w:line="360" w:lineRule="auto"/>
        <w:rPr>
          <w:rFonts w:hint="eastAsia" w:ascii="宋体" w:hAnsi="宋体" w:cs="黑体"/>
          <w:color w:val="000000" w:themeColor="text1"/>
          <w:sz w:val="36"/>
          <w:highlight w:val="none"/>
          <w14:textFill>
            <w14:solidFill>
              <w14:schemeClr w14:val="tx1"/>
            </w14:solidFill>
          </w14:textFill>
        </w:rPr>
      </w:pPr>
      <w:r>
        <w:rPr>
          <w:rFonts w:ascii="宋体" w:hAnsi="宋体" w:cs="黑体"/>
          <w:color w:val="000000" w:themeColor="text1"/>
          <w:sz w:val="36"/>
          <w:highlight w:val="none"/>
          <w14:textFill>
            <w14:solidFill>
              <w14:schemeClr w14:val="tx1"/>
            </w14:solidFill>
          </w14:textFill>
        </w:rPr>
        <w:br w:type="page"/>
      </w:r>
    </w:p>
    <w:p w14:paraId="47C493E3">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第二章  </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w:t>
      </w:r>
    </w:p>
    <w:p w14:paraId="5B6A55CA">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总则</w:t>
      </w:r>
    </w:p>
    <w:p w14:paraId="196A0206">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适用</w:t>
      </w:r>
      <w:r>
        <w:rPr>
          <w:rFonts w:hint="eastAsia"/>
          <w:color w:val="000000" w:themeColor="text1"/>
          <w:highlight w:val="none"/>
          <w14:textFill>
            <w14:solidFill>
              <w14:schemeClr w14:val="tx1"/>
            </w14:solidFill>
          </w14:textFill>
        </w:rPr>
        <w:t>规则</w:t>
      </w:r>
    </w:p>
    <w:p w14:paraId="12DC5947">
      <w:pPr>
        <w:pStyle w:val="17"/>
        <w:wordWrap w:val="0"/>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xml:space="preserve">1.1 </w:t>
      </w:r>
      <w:r>
        <w:rPr>
          <w:rFonts w:hint="eastAsia"/>
          <w:color w:val="000000" w:themeColor="text1"/>
          <w:highlight w:val="none"/>
          <w14:textFill>
            <w14:solidFill>
              <w14:schemeClr w14:val="tx1"/>
            </w14:solidFill>
          </w14:textFill>
        </w:rPr>
        <w:t>本采购项目为非政府采购项目，本次采购适用《南京邮电大学采购招标管理办法（修订）》（校发〔2025〕34号）</w:t>
      </w:r>
      <w:r>
        <w:rPr>
          <w:color w:val="000000" w:themeColor="text1"/>
          <w:highlight w:val="none"/>
          <w14:textFill>
            <w14:solidFill>
              <w14:schemeClr w14:val="tx1"/>
            </w14:solidFill>
          </w14:textFill>
        </w:rPr>
        <w:t>《南京邮电大学校内集中采购管理实施细则 （试行）》（校发〔2023〕39号）《南京邮电大学采购项目质疑答复和投诉处理实施细则（试行）》（校发〔2023〕38号）等</w:t>
      </w:r>
      <w:r>
        <w:rPr>
          <w:rFonts w:hint="eastAsia"/>
          <w:color w:val="000000" w:themeColor="text1"/>
          <w:highlight w:val="none"/>
          <w14:textFill>
            <w14:solidFill>
              <w14:schemeClr w14:val="tx1"/>
            </w14:solidFill>
          </w14:textFill>
        </w:rPr>
        <w:t>南京邮电大学内控制度</w:t>
      </w:r>
      <w:r>
        <w:rPr>
          <w:color w:val="000000" w:themeColor="text1"/>
          <w:highlight w:val="none"/>
          <w14:textFill>
            <w14:solidFill>
              <w14:schemeClr w14:val="tx1"/>
            </w14:solidFill>
          </w14:textFill>
        </w:rPr>
        <w:t>（文件详见链接https://zbb.njupt.edu.cn/xngzzd/index.chtml）。</w:t>
      </w:r>
    </w:p>
    <w:p w14:paraId="2A59BC01">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定义</w:t>
      </w:r>
    </w:p>
    <w:p w14:paraId="4F8E4994">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供应商</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是指参加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竞争，并符合采购文件规定资格条件的法人、其他组织或者自然人。</w:t>
      </w:r>
    </w:p>
    <w:p w14:paraId="20A99D17">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“货物和服务”</w:t>
      </w:r>
      <w:r>
        <w:rPr>
          <w:color w:val="000000" w:themeColor="text1"/>
          <w:highlight w:val="none"/>
          <w14:textFill>
            <w14:solidFill>
              <w14:schemeClr w14:val="tx1"/>
            </w14:solidFill>
          </w14:textFill>
        </w:rPr>
        <w:t>是指本采购文件中所述相关</w:t>
      </w:r>
      <w:r>
        <w:rPr>
          <w:rFonts w:hint="eastAsia"/>
          <w:color w:val="000000" w:themeColor="text1"/>
          <w:highlight w:val="none"/>
          <w14:textFill>
            <w14:solidFill>
              <w14:schemeClr w14:val="tx1"/>
            </w14:solidFill>
          </w14:textFill>
        </w:rPr>
        <w:t>货物</w:t>
      </w:r>
      <w:r>
        <w:rPr>
          <w:color w:val="000000" w:themeColor="text1"/>
          <w:highlight w:val="none"/>
          <w14:textFill>
            <w14:solidFill>
              <w14:schemeClr w14:val="tx1"/>
            </w14:solidFill>
          </w14:textFill>
        </w:rPr>
        <w:t>。</w:t>
      </w:r>
    </w:p>
    <w:p w14:paraId="25FC4B88">
      <w:pPr>
        <w:pStyle w:val="17"/>
        <w:numPr>
          <w:ilvl w:val="0"/>
          <w:numId w:val="9"/>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“采购人”、“用户”、“使用单位”是指使用货物及接受服务的单位</w:t>
      </w:r>
      <w:r>
        <w:rPr>
          <w:color w:val="000000" w:themeColor="text1"/>
          <w:highlight w:val="none"/>
          <w14:textFill>
            <w14:solidFill>
              <w14:schemeClr w14:val="tx1"/>
            </w14:solidFill>
          </w14:textFill>
        </w:rPr>
        <w:t>。</w:t>
      </w:r>
    </w:p>
    <w:p w14:paraId="5AEA6185">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采购文件</w:t>
      </w:r>
    </w:p>
    <w:p w14:paraId="6CABFF3C">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3</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采购文件组成</w:t>
      </w:r>
    </w:p>
    <w:p w14:paraId="1D6B8B6C">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采购文件组成：</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供应商</w:t>
      </w:r>
      <w:r>
        <w:rPr>
          <w:color w:val="000000" w:themeColor="text1"/>
          <w:highlight w:val="none"/>
          <w14:textFill>
            <w14:solidFill>
              <w14:schemeClr w14:val="tx1"/>
            </w14:solidFill>
          </w14:textFill>
        </w:rPr>
        <w:t>须知、评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标准、采购</w:t>
      </w:r>
      <w:r>
        <w:rPr>
          <w:rFonts w:hint="eastAsia"/>
          <w:color w:val="000000" w:themeColor="text1"/>
          <w:highlight w:val="none"/>
          <w14:textFill>
            <w14:solidFill>
              <w14:schemeClr w14:val="tx1"/>
            </w14:solidFill>
          </w14:textFill>
        </w:rPr>
        <w:t>需求</w:t>
      </w:r>
      <w:r>
        <w:rPr>
          <w:color w:val="000000" w:themeColor="text1"/>
          <w:highlight w:val="none"/>
          <w14:textFill>
            <w14:solidFill>
              <w14:schemeClr w14:val="tx1"/>
            </w14:solidFill>
          </w14:textFill>
        </w:rPr>
        <w:t>、合同主要条款及格式、响应文件格式及附件等。</w:t>
      </w:r>
    </w:p>
    <w:p w14:paraId="41D073FE">
      <w:pPr>
        <w:pStyle w:val="17"/>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采购的最小单位是包。采购服务数量及技术要求中未分包的，供应商对要求提供的服务不得部分</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；采购服务数量及技术要求中已经分包的，应当以包为单位</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74FEB53B">
      <w:pPr>
        <w:pStyle w:val="17"/>
        <w:widowControl/>
        <w:numPr>
          <w:ilvl w:val="0"/>
          <w:numId w:val="1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采购文件如果要求供应商提交备选方案的，供应商可以提交备选方案，否则，不接受备选方案。</w:t>
      </w:r>
    </w:p>
    <w:p w14:paraId="6A7B9018">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4</w:t>
      </w:r>
      <w:r>
        <w:rPr>
          <w:rFonts w:hint="eastAsia"/>
          <w:b/>
          <w:color w:val="000000" w:themeColor="text1"/>
          <w:highlight w:val="none"/>
          <w14:textFill>
            <w14:solidFill>
              <w14:schemeClr w14:val="tx1"/>
            </w14:solidFill>
          </w14:textFill>
        </w:rPr>
        <w:t>.</w:t>
      </w:r>
      <w:r>
        <w:rPr>
          <w:b/>
          <w:color w:val="000000" w:themeColor="text1"/>
          <w:highlight w:val="none"/>
          <w14:textFill>
            <w14:solidFill>
              <w14:schemeClr w14:val="tx1"/>
            </w14:solidFill>
          </w14:textFill>
        </w:rPr>
        <w:t>采购文件的澄清修改</w:t>
      </w:r>
    </w:p>
    <w:p w14:paraId="2153C5B5">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发布更正公告的形式通知所有已获取采购文件的供应商，不足3个工作日的，应当顺延提交响应文件截止之日。</w:t>
      </w:r>
    </w:p>
    <w:p w14:paraId="25D47431">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代理机构在采购文件要求提交响应文件截止时间前，有权决定延长提交响应文件截止时间和响应文件</w:t>
      </w:r>
      <w:r>
        <w:rPr>
          <w:rFonts w:hint="eastAsia"/>
          <w:color w:val="000000" w:themeColor="text1"/>
          <w:highlight w:val="none"/>
          <w14:textFill>
            <w14:solidFill>
              <w14:schemeClr w14:val="tx1"/>
            </w14:solidFill>
          </w14:textFill>
        </w:rPr>
        <w:t>开启</w:t>
      </w:r>
      <w:r>
        <w:rPr>
          <w:color w:val="000000" w:themeColor="text1"/>
          <w:highlight w:val="none"/>
          <w14:textFill>
            <w14:solidFill>
              <w14:schemeClr w14:val="tx1"/>
            </w14:solidFill>
          </w14:textFill>
        </w:rPr>
        <w:t>时间，并在原采购信息发布媒体上发布更正公告。</w:t>
      </w:r>
    </w:p>
    <w:p w14:paraId="627A418F">
      <w:pPr>
        <w:pStyle w:val="17"/>
        <w:numPr>
          <w:ilvl w:val="0"/>
          <w:numId w:val="1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供应商应在提交响应文件截止时间前关注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w:t>
      </w:r>
      <w:r>
        <w:rPr>
          <w:rFonts w:hint="eastAsia"/>
          <w:color w:val="000000" w:themeColor="text1"/>
          <w:highlight w:val="none"/>
          <w14:textFill>
            <w14:solidFill>
              <w14:schemeClr w14:val="tx1"/>
            </w14:solidFill>
          </w14:textFill>
        </w:rPr>
        <w:t>采购招标管理办公室网站”</w:t>
      </w:r>
      <w:r>
        <w:rPr>
          <w:color w:val="000000" w:themeColor="text1"/>
          <w:highlight w:val="none"/>
          <w14:textFill>
            <w14:solidFill>
              <w14:schemeClr w14:val="tx1"/>
            </w14:solidFill>
          </w14:textFill>
        </w:rPr>
        <w:t>上有关本采购项目有无更正公告。</w:t>
      </w:r>
    </w:p>
    <w:p w14:paraId="0731E8EA">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p>
    <w:p w14:paraId="20C103F2">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响应文件的语言、计量单位、货币、技术标准和编制</w:t>
      </w:r>
    </w:p>
    <w:p w14:paraId="27C1117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供应商提交的响应文件、技术文件和资料，包括图纸中的说明，以及供应商与代理机构就有关</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的所有来往函电均应使用中文。响应文件中若有英文或其他语言文字的资料，应提供相应的中文翻译资料。对不同文本响应文件的解释发生异议的，以中文文本为准。</w:t>
      </w:r>
    </w:p>
    <w:p w14:paraId="34C7BEB3">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供应商所使用的计量单位应为国家法定计量单位。</w:t>
      </w:r>
    </w:p>
    <w:p w14:paraId="6DEBA2E7">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供应商应用人民币报价。</w:t>
      </w:r>
    </w:p>
    <w:p w14:paraId="03D57BDF">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响应文件应字迹清楚、内容齐全、不得涂改。如有修改，修改处须有响应文件签署人签字或加盖公章。</w:t>
      </w:r>
    </w:p>
    <w:p w14:paraId="2FFDC88B">
      <w:pPr>
        <w:pStyle w:val="17"/>
        <w:numPr>
          <w:ilvl w:val="0"/>
          <w:numId w:val="1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供应商所使用的技术标准应遵循国家最新标准及规范。</w:t>
      </w:r>
    </w:p>
    <w:p w14:paraId="36034E9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联合体及分包：本项目不接受联合体</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，不接受分包、转包。</w:t>
      </w:r>
    </w:p>
    <w:p w14:paraId="37EBE03C">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采购项目如接受联合体</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的，两个以上的自然人、法人或者其他组织可以组成一个联合体，以一个供应商的身份共同参加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6F0639A8">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，也不得组成新的联合体参加同一项目</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w:t>
      </w:r>
    </w:p>
    <w:p w14:paraId="5CDED665">
      <w:pPr>
        <w:pStyle w:val="17"/>
        <w:numPr>
          <w:ilvl w:val="0"/>
          <w:numId w:val="1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采购合同分包履行的，</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供应商就采购项目和分包项目向采购人负责，分包项目供应商就分包项目承担责任，</w:t>
      </w:r>
      <w:r>
        <w:rPr>
          <w:rFonts w:hint="eastAsia"/>
          <w:color w:val="000000" w:themeColor="text1"/>
          <w:highlight w:val="none"/>
          <w14:textFill>
            <w14:solidFill>
              <w14:schemeClr w14:val="tx1"/>
            </w14:solidFill>
          </w14:textFill>
        </w:rPr>
        <w:t>成交</w:t>
      </w:r>
      <w:r>
        <w:rPr>
          <w:color w:val="000000" w:themeColor="text1"/>
          <w:highlight w:val="none"/>
          <w14:textFill>
            <w14:solidFill>
              <w14:schemeClr w14:val="tx1"/>
            </w14:solidFill>
          </w14:textFill>
        </w:rPr>
        <w:t>供应商与分包人之间应该签订分包意向协议。</w:t>
      </w:r>
    </w:p>
    <w:p w14:paraId="6BD3BDFA">
      <w:pPr>
        <w:pStyle w:val="17"/>
        <w:numPr>
          <w:ilvl w:val="0"/>
          <w:numId w:val="12"/>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费用</w:t>
      </w:r>
    </w:p>
    <w:p w14:paraId="352BFF21">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供应商应承担所有与准备和参加</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有关的费用，无论采购结果如何，代理机构和采购人在任何情况下均无义务和责任承担这些费用。</w:t>
      </w:r>
    </w:p>
    <w:p w14:paraId="73E7709F">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采购代理服务费按照国家发展和改革委员会下发的《关于降低部分建设项目收费标准规范收费行为等有关问题的通知》（发改价格</w:t>
      </w:r>
      <w:r>
        <w:rPr>
          <w:rFonts w:hint="eastAsia"/>
          <w:color w:val="000000" w:themeColor="text1"/>
          <w:highlight w:val="none"/>
          <w14:textFill>
            <w14:solidFill>
              <w14:schemeClr w14:val="tx1"/>
            </w14:solidFill>
          </w14:textFill>
        </w:rPr>
        <w:t>〔2011〕</w:t>
      </w:r>
      <w:r>
        <w:rPr>
          <w:color w:val="000000" w:themeColor="text1"/>
          <w:highlight w:val="none"/>
          <w14:textFill>
            <w14:solidFill>
              <w14:schemeClr w14:val="tx1"/>
            </w14:solidFill>
          </w14:textFill>
        </w:rPr>
        <w:t>534 号）所列采购代理服务费收费标准下浮</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58</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%（优惠率）收取。代理服务费包括所供服务相关的所有费用，工程类采购代理项目报价包含编制工程量清单、确定</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控制价等所有费用。</w:t>
      </w:r>
    </w:p>
    <w:p w14:paraId="10D88996">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 4000 元，工程类项目保底代理费为 5000 元。</w:t>
      </w:r>
    </w:p>
    <w:p w14:paraId="5E2302DA">
      <w:pPr>
        <w:pStyle w:val="17"/>
        <w:numPr>
          <w:ilvl w:val="0"/>
          <w:numId w:val="1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采购代理服务费按项目结算，由采购代理服务商向具体项目的成交单位收取。</w:t>
      </w:r>
      <w:r>
        <w:rPr>
          <w:rFonts w:hint="eastAsia"/>
          <w:color w:val="000000" w:themeColor="text1"/>
          <w:highlight w:val="none"/>
          <w14:textFill>
            <w14:solidFill>
              <w14:schemeClr w14:val="tx1"/>
            </w14:solidFill>
          </w14:textFill>
        </w:rPr>
        <w:t>成交供应商须在领取成交通知书前，向采购代理机构一次性缴清采购代理服务费。</w:t>
      </w:r>
    </w:p>
    <w:p w14:paraId="00314A5A">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响应文件组成</w:t>
      </w:r>
    </w:p>
    <w:p w14:paraId="7DFE1A69">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1848256F">
      <w:pPr>
        <w:pStyle w:val="17"/>
        <w:numPr>
          <w:ilvl w:val="0"/>
          <w:numId w:val="1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响应文件由商务部分、技术部分、价格部分，以及其他部分组成。</w:t>
      </w:r>
    </w:p>
    <w:p w14:paraId="22D0DBC8">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响应文件的商务部分</w:t>
      </w:r>
    </w:p>
    <w:p w14:paraId="418C53E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9.1 商务部分是证明供应商有资格参加</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和成交后有能力履行合同的文件，这些文件应能满足采购的要求，包括但不限于下列文件，其中加</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★”项目不得有缺失或无效：</w:t>
      </w:r>
    </w:p>
    <w:p w14:paraId="3F7CCE38">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函（</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申请及声明）；</w:t>
      </w:r>
    </w:p>
    <w:p w14:paraId="31FFFE61">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★法定代表人授权委托书及</w:t>
      </w:r>
      <w:r>
        <w:rPr>
          <w:rFonts w:hint="eastAsia"/>
          <w:color w:val="000000" w:themeColor="text1"/>
          <w:highlight w:val="none"/>
          <w14:textFill>
            <w14:solidFill>
              <w14:schemeClr w14:val="tx1"/>
            </w14:solidFill>
          </w14:textFill>
        </w:rPr>
        <w:t>委托代理人</w:t>
      </w:r>
      <w:r>
        <w:rPr>
          <w:color w:val="000000" w:themeColor="text1"/>
          <w:highlight w:val="none"/>
          <w14:textFill>
            <w14:solidFill>
              <w14:schemeClr w14:val="tx1"/>
            </w14:solidFill>
          </w14:textFill>
        </w:rPr>
        <w:t>的身份证复印件（有授权委托的），或法定代表人身份证复印件（无授权委托的）；</w:t>
      </w:r>
    </w:p>
    <w:p w14:paraId="44CEA661">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★第一章</w:t>
      </w:r>
      <w:r>
        <w:rPr>
          <w:rFonts w:hint="eastAsia"/>
          <w:color w:val="000000" w:themeColor="text1"/>
          <w:highlight w:val="none"/>
          <w14:textFill>
            <w14:solidFill>
              <w14:schemeClr w14:val="tx1"/>
            </w14:solidFill>
          </w14:textFill>
        </w:rPr>
        <w:t>比选公告</w:t>
      </w:r>
      <w:r>
        <w:rPr>
          <w:color w:val="000000" w:themeColor="text1"/>
          <w:highlight w:val="none"/>
          <w14:textFill>
            <w14:solidFill>
              <w14:schemeClr w14:val="tx1"/>
            </w14:solidFill>
          </w14:textFill>
        </w:rPr>
        <w:t>中</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二、申请人的资格要求规定的资格条件证明文件</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p>
    <w:p w14:paraId="46D1BA98">
      <w:pPr>
        <w:pStyle w:val="17"/>
        <w:widowControl/>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p w14:paraId="76F02D83">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合同条款；</w:t>
      </w:r>
    </w:p>
    <w:p w14:paraId="770EE1B0">
      <w:pPr>
        <w:pStyle w:val="17"/>
        <w:numPr>
          <w:ilvl w:val="0"/>
          <w:numId w:val="1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供应商认为需要提供的其他资格证明文件和商务资料。</w:t>
      </w:r>
    </w:p>
    <w:p w14:paraId="10F51AB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响应文件的技术部分</w:t>
      </w:r>
    </w:p>
    <w:p w14:paraId="260FC3F7">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技术部分是证明供应商提供的服务是合格的、并符合采购文件要求的证明文件，以及对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报价表中的服务的详细说明，这些文件可以是文字资料、图纸和数据等。</w:t>
      </w:r>
    </w:p>
    <w:p w14:paraId="45DDA582">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若提供的服务与采购文件要求有不符之处，应说明其差别之所在。</w:t>
      </w:r>
    </w:p>
    <w:p w14:paraId="632350B4">
      <w:pPr>
        <w:pStyle w:val="17"/>
        <w:numPr>
          <w:ilvl w:val="0"/>
          <w:numId w:val="1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响应文件应按照采购文件要求提供服务说明，技术资料、文件和有关证明，包括但不限于以下材料：</w:t>
      </w:r>
    </w:p>
    <w:p w14:paraId="5CDBF97B">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提供技术及</w:t>
      </w:r>
      <w:r>
        <w:rPr>
          <w:rFonts w:hint="eastAsia"/>
          <w:color w:val="000000" w:themeColor="text1"/>
          <w:highlight w:val="none"/>
          <w14:textFill>
            <w14:solidFill>
              <w14:schemeClr w14:val="tx1"/>
            </w14:solidFill>
          </w14:textFill>
        </w:rPr>
        <w:t>服务</w:t>
      </w:r>
      <w:r>
        <w:rPr>
          <w:color w:val="000000" w:themeColor="text1"/>
          <w:highlight w:val="none"/>
          <w14:textFill>
            <w14:solidFill>
              <w14:schemeClr w14:val="tx1"/>
            </w14:solidFill>
          </w14:textFill>
        </w:rPr>
        <w:t>方案；</w:t>
      </w:r>
    </w:p>
    <w:p w14:paraId="7DFED9B1">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p w14:paraId="34F25EBA">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服务承诺；</w:t>
      </w:r>
    </w:p>
    <w:p w14:paraId="5128D020">
      <w:pPr>
        <w:pStyle w:val="17"/>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供应商拟投入本项目的设备、人员情况一览表；</w:t>
      </w:r>
    </w:p>
    <w:p w14:paraId="25C52B33">
      <w:pPr>
        <w:pStyle w:val="17"/>
        <w:widowControl/>
        <w:numPr>
          <w:ilvl w:val="0"/>
          <w:numId w:val="1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供应商认为需要提供的其他技术资料。</w:t>
      </w:r>
    </w:p>
    <w:p w14:paraId="1817199F">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响应文件的价格部分</w:t>
      </w:r>
    </w:p>
    <w:p w14:paraId="493EB749">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价格部分是对</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服务价格构成的说明，每一项服务仅接受一个价格。</w:t>
      </w:r>
    </w:p>
    <w:p w14:paraId="060A5326">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报价应包含</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文件所确定的</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范围内全部工作内容的体现，其应包括所有成本及运输、调试、劳务、现场配合、伴随服务、国家规定的保险、利润、税金等，采购人除依本项目合同约定支付价款外，不再向供应商支付任何费用。</w:t>
      </w:r>
    </w:p>
    <w:p w14:paraId="5524944C">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供应商的任何错漏、优惠、竞争性报价不得作为减轻责任、减少服务、增加收费、降低质量的理由。</w:t>
      </w:r>
    </w:p>
    <w:p w14:paraId="775A09FD">
      <w:pPr>
        <w:pStyle w:val="17"/>
        <w:numPr>
          <w:ilvl w:val="0"/>
          <w:numId w:val="2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供应商应在《</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一览表》《分项报价表》</w:t>
      </w:r>
      <w:r>
        <w:rPr>
          <w:rFonts w:hint="eastAsia"/>
          <w:color w:val="000000" w:themeColor="text1"/>
          <w:highlight w:val="none"/>
          <w14:textFill>
            <w14:solidFill>
              <w14:schemeClr w14:val="tx1"/>
            </w14:solidFill>
          </w14:textFill>
        </w:rPr>
        <w:t>中列</w:t>
      </w:r>
      <w:r>
        <w:rPr>
          <w:color w:val="000000" w:themeColor="text1"/>
          <w:highlight w:val="none"/>
          <w14:textFill>
            <w14:solidFill>
              <w14:schemeClr w14:val="tx1"/>
            </w14:solidFill>
          </w14:textFill>
        </w:rPr>
        <w:t>明提供货物和服务的单价、总价以及分项报价。</w:t>
      </w:r>
    </w:p>
    <w:p w14:paraId="543E1BB5">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响应文件的其他部分</w:t>
      </w:r>
    </w:p>
    <w:p w14:paraId="6DB9BEB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供应商编制响应文件需要提供的其他相关文件。</w:t>
      </w:r>
    </w:p>
    <w:p w14:paraId="09D5D1F7">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响应保证金：无。</w:t>
      </w:r>
    </w:p>
    <w:p w14:paraId="6AE4AACC">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响应有效期</w:t>
      </w:r>
    </w:p>
    <w:p w14:paraId="61794B8B">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自</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之日起</w:t>
      </w:r>
      <w:r>
        <w:rPr>
          <w:rFonts w:hint="eastAsia"/>
          <w:color w:val="000000" w:themeColor="text1"/>
          <w:highlight w:val="none"/>
          <w14:textFill>
            <w14:solidFill>
              <w14:schemeClr w14:val="tx1"/>
            </w14:solidFill>
          </w14:textFill>
        </w:rPr>
        <w:t>九</w:t>
      </w:r>
      <w:r>
        <w:rPr>
          <w:color w:val="000000" w:themeColor="text1"/>
          <w:highlight w:val="none"/>
          <w14:textFill>
            <w14:solidFill>
              <w14:schemeClr w14:val="tx1"/>
            </w14:solidFill>
          </w14:textFill>
        </w:rPr>
        <w:t>十日内响应有效。</w:t>
      </w:r>
    </w:p>
    <w:p w14:paraId="05540205">
      <w:pPr>
        <w:pStyle w:val="17"/>
        <w:numPr>
          <w:ilvl w:val="0"/>
          <w:numId w:val="2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02DE2A3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响应文件的份数、签署</w:t>
      </w:r>
    </w:p>
    <w:p w14:paraId="20068D39">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供应商应按照采购文件要求的份数准备响应文件，每份响应文件须清楚地标明</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正本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或</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副本</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字样。正本和副本不符时，以正本为准。</w:t>
      </w:r>
    </w:p>
    <w:p w14:paraId="3664863F">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497EF4C1">
      <w:pPr>
        <w:pStyle w:val="17"/>
        <w:numPr>
          <w:ilvl w:val="0"/>
          <w:numId w:val="2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除供应商对错处做必要修改外，响应文件不得行间插字、涂改或增删。如有修改错漏处，必须由响应文件签署人签字或加盖公章。</w:t>
      </w:r>
    </w:p>
    <w:p w14:paraId="26807019">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响应文件的密封和递交</w:t>
      </w:r>
    </w:p>
    <w:p w14:paraId="28593CB6">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供应商应当将响应文件密封。</w:t>
      </w:r>
    </w:p>
    <w:p w14:paraId="027ACC7E">
      <w:pPr>
        <w:pStyle w:val="17"/>
        <w:numPr>
          <w:ilvl w:val="0"/>
          <w:numId w:val="2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供应商应当在采购文件要求提交响应文件的截止时间前，将密封的响应文件送达响应地点。</w:t>
      </w:r>
    </w:p>
    <w:p w14:paraId="3C039DFE">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有下列情形之一的响应文件将被拒收</w:t>
      </w:r>
    </w:p>
    <w:p w14:paraId="71D0F729">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在采购文件要求提交响应文件的截止时间之后送达的。</w:t>
      </w:r>
    </w:p>
    <w:p w14:paraId="78A6C139">
      <w:pPr>
        <w:pStyle w:val="17"/>
        <w:numPr>
          <w:ilvl w:val="0"/>
          <w:numId w:val="2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响应文件未密封的。</w:t>
      </w:r>
    </w:p>
    <w:p w14:paraId="304FA61D">
      <w:pPr>
        <w:pStyle w:val="17"/>
        <w:numPr>
          <w:ilvl w:val="0"/>
          <w:numId w:val="1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响应文件的修改和撤回</w:t>
      </w:r>
    </w:p>
    <w:p w14:paraId="7AA46A7E">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供应商在响应截止时间前，可以对所递交的响应文件进行补充、修改或撤回，并书面通知代理机构。补充、修改的内容应当按照采购文件要求签署、盖章，并作为响应文件的组成部分。</w:t>
      </w:r>
    </w:p>
    <w:p w14:paraId="10965A50">
      <w:pPr>
        <w:pStyle w:val="17"/>
        <w:numPr>
          <w:ilvl w:val="0"/>
          <w:numId w:val="2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响应截止时间之后，响应文件不得撤回。</w:t>
      </w:r>
    </w:p>
    <w:p w14:paraId="73137052">
      <w:pPr>
        <w:pStyle w:val="17"/>
        <w:numPr>
          <w:ilvl w:val="0"/>
          <w:numId w:val="8"/>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r>
        <w:rPr>
          <w:b/>
          <w:color w:val="000000" w:themeColor="text1"/>
          <w:highlight w:val="none"/>
          <w14:textFill>
            <w14:solidFill>
              <w14:schemeClr w14:val="tx1"/>
            </w14:solidFill>
          </w14:textFill>
        </w:rPr>
        <w:t>、评</w:t>
      </w:r>
      <w:r>
        <w:rPr>
          <w:rFonts w:hint="eastAsia"/>
          <w:b/>
          <w:color w:val="000000" w:themeColor="text1"/>
          <w:highlight w:val="none"/>
          <w14:textFill>
            <w14:solidFill>
              <w14:schemeClr w14:val="tx1"/>
            </w14:solidFill>
          </w14:textFill>
        </w:rPr>
        <w:t>审</w:t>
      </w:r>
      <w:r>
        <w:rPr>
          <w:b/>
          <w:color w:val="000000" w:themeColor="text1"/>
          <w:highlight w:val="none"/>
          <w14:textFill>
            <w14:solidFill>
              <w14:schemeClr w14:val="tx1"/>
            </w14:solidFill>
          </w14:textFill>
        </w:rPr>
        <w:t>与确定成交供应商</w:t>
      </w:r>
    </w:p>
    <w:p w14:paraId="4BC90202">
      <w:pPr>
        <w:pStyle w:val="17"/>
        <w:numPr>
          <w:ilvl w:val="0"/>
          <w:numId w:val="26"/>
        </w:numPr>
        <w:spacing w:line="360" w:lineRule="auto"/>
        <w:ind w:firstLineChars="0"/>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响应文件开启</w:t>
      </w:r>
    </w:p>
    <w:p w14:paraId="795EE941">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代理机构将在采购文件确定的时间和地点进行</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。供应商应委派代表准时参加，</w:t>
      </w:r>
      <w:r>
        <w:rPr>
          <w:rFonts w:hint="eastAsia"/>
          <w:color w:val="000000" w:themeColor="text1"/>
          <w:highlight w:val="none"/>
          <w14:textFill>
            <w14:solidFill>
              <w14:schemeClr w14:val="tx1"/>
            </w14:solidFill>
          </w14:textFill>
        </w:rPr>
        <w:t>未参加响应文件开启的，视同认可响应文件开启结果。</w:t>
      </w:r>
    </w:p>
    <w:p w14:paraId="49275D58">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时，由供应商或者其推选的代表检查响应文件的密封情况，经确认无误后，由采购人或者代理机构工作人员当众拆封，宣布供应商名称、响应价格和采购文件规定的需要宣布的其他内容。</w:t>
      </w:r>
    </w:p>
    <w:p w14:paraId="0634E731">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未宣读的响应价格、价格折扣和采购文件允许提供的备选响应方案等实质性内容，评审时不予承认。</w:t>
      </w:r>
    </w:p>
    <w:p w14:paraId="3695FDB2">
      <w:pPr>
        <w:pStyle w:val="17"/>
        <w:numPr>
          <w:ilvl w:val="0"/>
          <w:numId w:val="27"/>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一览表》（报价表）内容与响应文件中相应内容不一致的，以《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一览表》（报价表）为准。</w:t>
      </w:r>
    </w:p>
    <w:p w14:paraId="333266AA">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一览表》（报价表）中报价的大写金额与小写金额不一致的，以大写金额为准。</w:t>
      </w:r>
    </w:p>
    <w:p w14:paraId="2F9948CC">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单价金额小数点或者百分比有明显错位的，以《</w:t>
      </w:r>
      <w:r>
        <w:rPr>
          <w:rFonts w:hint="eastAsia"/>
          <w:color w:val="000000" w:themeColor="text1"/>
          <w:highlight w:val="none"/>
          <w14:textFill>
            <w14:solidFill>
              <w14:schemeClr w14:val="tx1"/>
            </w14:solidFill>
          </w14:textFill>
        </w:rPr>
        <w:t>响应</w:t>
      </w:r>
      <w:r>
        <w:rPr>
          <w:color w:val="000000" w:themeColor="text1"/>
          <w:highlight w:val="none"/>
          <w14:textFill>
            <w14:solidFill>
              <w14:schemeClr w14:val="tx1"/>
            </w14:solidFill>
          </w14:textFill>
        </w:rPr>
        <w:t>一览表》（报价表）的总价为准，并修改单价。</w:t>
      </w:r>
    </w:p>
    <w:p w14:paraId="268A8710">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总价金额与按单价汇总金额不一致的，以单价金额计算结果为准。</w:t>
      </w:r>
    </w:p>
    <w:p w14:paraId="2B6C3932">
      <w:pPr>
        <w:pStyle w:val="17"/>
        <w:numPr>
          <w:ilvl w:val="0"/>
          <w:numId w:val="2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同时出现19.4-19.7中两种以上不一致的，按照19.4-19.7的顺序修正。修正后的报价由法定代表人或其授权的代表确认后产生约束力，供应商不确认的，</w:t>
      </w:r>
      <w:r>
        <w:rPr>
          <w:rFonts w:hint="eastAsia"/>
          <w:color w:val="000000" w:themeColor="text1"/>
          <w:highlight w:val="none"/>
          <w14:textFill>
            <w14:solidFill>
              <w14:schemeClr w14:val="tx1"/>
            </w14:solidFill>
          </w14:textFill>
        </w:rPr>
        <w:t>其</w:t>
      </w:r>
      <w:r>
        <w:rPr>
          <w:color w:val="000000" w:themeColor="text1"/>
          <w:highlight w:val="none"/>
          <w14:textFill>
            <w14:solidFill>
              <w14:schemeClr w14:val="tx1"/>
            </w14:solidFill>
          </w14:textFill>
        </w:rPr>
        <w:t>响应无效。</w:t>
      </w:r>
    </w:p>
    <w:p w14:paraId="71DAF878">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对不同文字文本响应文件的解释发生异议的，以中文文本为准。</w:t>
      </w:r>
    </w:p>
    <w:p w14:paraId="787B1478">
      <w:pPr>
        <w:pStyle w:val="17"/>
        <w:numPr>
          <w:ilvl w:val="0"/>
          <w:numId w:val="27"/>
        </w:numPr>
        <w:spacing w:line="360" w:lineRule="auto"/>
        <w:ind w:firstLine="420"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响应截止时间</w:t>
      </w:r>
      <w:r>
        <w:rPr>
          <w:rFonts w:hint="eastAsia"/>
          <w:color w:val="000000" w:themeColor="text1"/>
          <w:highlight w:val="none"/>
          <w14:textFill>
            <w14:solidFill>
              <w14:schemeClr w14:val="tx1"/>
            </w14:solidFill>
          </w14:textFill>
        </w:rPr>
        <w:t>响应供应商或者合格供应商不足3家，可按以下情形处理：</w:t>
      </w:r>
    </w:p>
    <w:p w14:paraId="24CD299F">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19.10.1</w:t>
      </w:r>
      <w:r>
        <w:rPr>
          <w:rFonts w:hint="eastAsia"/>
          <w:color w:val="000000" w:themeColor="text1"/>
          <w:highlight w:val="none"/>
          <w14:textFill>
            <w14:solidFill>
              <w14:schemeClr w14:val="tx1"/>
            </w14:solidFill>
          </w14:textFill>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 响应截止时间结束后响应供应商只有1家，或者经评审对采购文 件做出实质响应的有效供应商只有1家，采购人急需采购的，且同时满足以下两个条件的，可现场转为单一来源方式采 购。（1）采购人及采购代理机构出具对采购文件和采购过程无供应商质疑或者质疑已得到妥善处理的情况说明；（2）评审委员会出具采购文件没有不合理条款、申请转变采购方式理由恰当的论证意见。</w:t>
      </w:r>
    </w:p>
    <w:p w14:paraId="6DC26D22">
      <w:pPr>
        <w:pStyle w:val="17"/>
        <w:spacing w:line="360" w:lineRule="auto"/>
        <w:ind w:firstLineChars="175"/>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19.10.2</w:t>
      </w:r>
      <w:r>
        <w:rPr>
          <w:rFonts w:hint="eastAsia"/>
          <w:color w:val="000000" w:themeColor="text1"/>
          <w:highlight w:val="none"/>
          <w14:textFill>
            <w14:solidFill>
              <w14:schemeClr w14:val="tx1"/>
            </w14:solidFill>
          </w14:textFill>
        </w:rPr>
        <w:t>除1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以外的其他采购项目，第一次公开征集后合格供应商不足3家的，应重新征集供应商。重新公开征 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000000" w:themeColor="text1"/>
          <w:highlight w:val="none"/>
          <w14:textFill>
            <w14:solidFill>
              <w14:schemeClr w14:val="tx1"/>
            </w14:solidFill>
          </w14:textFill>
        </w:rPr>
        <w:t>9.10.1</w:t>
      </w:r>
      <w:r>
        <w:rPr>
          <w:rFonts w:hint="eastAsia"/>
          <w:color w:val="000000" w:themeColor="text1"/>
          <w:highlight w:val="none"/>
          <w14:textFill>
            <w14:solidFill>
              <w14:schemeClr w14:val="tx1"/>
            </w14:solidFill>
          </w14:textFill>
        </w:rPr>
        <w:t>所列两个条件的，可转为单一来源方式采购。</w:t>
      </w:r>
    </w:p>
    <w:p w14:paraId="56E1B047">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9.11</w:t>
      </w:r>
      <w:r>
        <w:rPr>
          <w:rFonts w:hint="eastAsia"/>
          <w:color w:val="000000" w:themeColor="text1"/>
          <w:highlight w:val="none"/>
          <w14:textFill>
            <w14:solidFill>
              <w14:schemeClr w14:val="tx1"/>
            </w14:solidFill>
          </w14:textFill>
        </w:rPr>
        <w:t>相同品牌产品</w:t>
      </w:r>
    </w:p>
    <w:p w14:paraId="2B34889C">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196982F8">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7FD223B4">
      <w:pPr>
        <w:pStyle w:val="17"/>
        <w:spacing w:line="360" w:lineRule="auto"/>
        <w:ind w:firstLineChars="175"/>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非单一产品采购项目，采购文件中将载明其中的核心产品，核心产品见《第四章 项目需求》。多家供应商提供的核心产品品牌相同的，按前两款规定处理。</w:t>
      </w:r>
    </w:p>
    <w:p w14:paraId="3BB0B8C3">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w:t>
      </w:r>
    </w:p>
    <w:p w14:paraId="05ACDACC">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评审组织</w:t>
      </w:r>
    </w:p>
    <w:p w14:paraId="5352824D">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评审工作由代理机构组织，具体评审事务由依法组建的评审委员会负责，并独立履行下列职责：</w:t>
      </w:r>
    </w:p>
    <w:p w14:paraId="1F5D94AC">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审查、评价响应文件是否符合采购文件的商务、技术等实质性要求；</w:t>
      </w:r>
    </w:p>
    <w:p w14:paraId="641D5603">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要求供应商对响应文件有关事项作出澄清或者说明；</w:t>
      </w:r>
    </w:p>
    <w:p w14:paraId="54798E86">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对响应文件进行比较和评价；</w:t>
      </w:r>
    </w:p>
    <w:p w14:paraId="565D97ED">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推荐成交候选人或根据采购人委托直接确定成交供应商；</w:t>
      </w:r>
    </w:p>
    <w:p w14:paraId="5F9A327E">
      <w:pPr>
        <w:pStyle w:val="17"/>
        <w:numPr>
          <w:ilvl w:val="0"/>
          <w:numId w:val="3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向采购人报告评审中发现的违法行为。</w:t>
      </w:r>
    </w:p>
    <w:p w14:paraId="398FEBFB">
      <w:pPr>
        <w:pStyle w:val="17"/>
        <w:numPr>
          <w:ilvl w:val="0"/>
          <w:numId w:val="2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评审委员会由采购人代表和有关技术、经济等方面的专家组成，独立开展评审工作。</w:t>
      </w:r>
    </w:p>
    <w:p w14:paraId="615CDEB6">
      <w:pPr>
        <w:pStyle w:val="17"/>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评审程序</w:t>
      </w:r>
    </w:p>
    <w:p w14:paraId="42D8E6DA">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响应文件的资格审查</w:t>
      </w:r>
    </w:p>
    <w:p w14:paraId="161D00E8">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依法对供应商的资格进行审查。</w:t>
      </w:r>
    </w:p>
    <w:p w14:paraId="71B8713C">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代理机构</w:t>
      </w:r>
      <w:r>
        <w:rPr>
          <w:color w:val="000000" w:themeColor="text1"/>
          <w:highlight w:val="none"/>
          <w14:textFill>
            <w14:solidFill>
              <w14:schemeClr w14:val="tx1"/>
            </w14:solidFill>
          </w14:textFill>
        </w:rPr>
        <w:t>依据法律法规和采购文件的规定，对响应文件中的资格证明文件等进行审查，以确定供应商是否具备响应资格。</w:t>
      </w:r>
    </w:p>
    <w:p w14:paraId="4BDD0A66">
      <w:pPr>
        <w:pStyle w:val="17"/>
        <w:numPr>
          <w:ilvl w:val="0"/>
          <w:numId w:val="3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在进行资格性审查的同时，将在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网站（www.creditchina.gov.cn）、对供应商是否被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进行查询，以确定供应商是否具备响应资格。查询结果将以网页打印的形式留存并归档。</w:t>
      </w:r>
    </w:p>
    <w:p w14:paraId="79E4D1C7">
      <w:pPr>
        <w:pStyle w:val="17"/>
        <w:widowControl/>
        <w:numPr>
          <w:ilvl w:val="0"/>
          <w:numId w:val="3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响应文件有下列情况之一的，在资格审查时按照无效响应处理</w:t>
      </w:r>
    </w:p>
    <w:p w14:paraId="5A50C09E">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不具备采购文件规定资格条件的；</w:t>
      </w:r>
    </w:p>
    <w:p w14:paraId="66FA5B04">
      <w:pPr>
        <w:pStyle w:val="17"/>
        <w:widowControl/>
        <w:numPr>
          <w:ilvl w:val="0"/>
          <w:numId w:val="3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网站（www.creditchina.gov.cn）</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中国政府采购网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（www.ccgp.gov.cn）列入失信被执行人、重大税收违法失信主体、政府采购</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的。接受联合体的项目，两个以上的自然人、法人或者其他组织组成一个联合体，以一个供应商的身份共同参加采购活动的，联合体成员存在不良信用记录的，视同联合体存在不良应用记录；</w:t>
      </w:r>
    </w:p>
    <w:p w14:paraId="2D829EB1">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响应文件的符合性审查</w:t>
      </w:r>
    </w:p>
    <w:p w14:paraId="070EB7E8">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.2.2.1评审委员会将依据法律法规和采购文件的规定，对响应文件的有效性、完整性和对采购文件的响应程度进行审查，以确定是否对采购文件的实质性要求作出响应。</w:t>
      </w:r>
    </w:p>
    <w:p w14:paraId="5AB1FD52">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.2.2.2实质性要求是指本采购文件中带</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的商务和技术要求。</w:t>
      </w:r>
    </w:p>
    <w:p w14:paraId="79501BE9">
      <w:pPr>
        <w:pStyle w:val="17"/>
        <w:spacing w:line="360" w:lineRule="auto"/>
        <w:ind w:firstLine="48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0</w:t>
      </w:r>
      <w:r>
        <w:rPr>
          <w:color w:val="000000" w:themeColor="text1"/>
          <w:highlight w:val="none"/>
          <w14:textFill>
            <w14:solidFill>
              <w14:schemeClr w14:val="tx1"/>
            </w14:solidFill>
          </w14:textFill>
        </w:rPr>
        <w:t>.2.2.3如果响应文件实质上没有响应采购文件的要求，评审委员会将予以拒绝，供应商不得通过修改或撤销不符合要求的偏离而使其响应成为实质性响应的响应。</w:t>
      </w:r>
    </w:p>
    <w:p w14:paraId="114BB3C8">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.2.2.4响应文件有下列情况之一的，在符合性审查时按照无效响应处理</w:t>
      </w:r>
    </w:p>
    <w:p w14:paraId="203CB622">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未按照采购文件规定的要求密封、签署、盖章的；</w:t>
      </w:r>
    </w:p>
    <w:p w14:paraId="5423EBD9">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不具备采购文件中规定的资格要求的；</w:t>
      </w:r>
    </w:p>
    <w:p w14:paraId="011BD833">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报价超过采购文件中规定的预算金额或者最高限价的；</w:t>
      </w:r>
    </w:p>
    <w:p w14:paraId="2441D360">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响应文件含有采购人不能接受的附加条件的；</w:t>
      </w:r>
    </w:p>
    <w:p w14:paraId="0C56E238">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响应文件不符合采购文件中规定的其它实质性要求的；</w:t>
      </w:r>
    </w:p>
    <w:p w14:paraId="7C31433D">
      <w:pPr>
        <w:pStyle w:val="17"/>
        <w:widowControl/>
        <w:numPr>
          <w:ilvl w:val="0"/>
          <w:numId w:val="3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08ED68E5">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.2.2.5提交响应文件截止时间后供应商不足3家或者通过资格审查或符合性审查的供应商不足3家的，除采购任务取消情形外，按照</w:t>
      </w:r>
      <w:r>
        <w:rPr>
          <w:rFonts w:hint="eastAsia"/>
          <w:b/>
          <w:color w:val="000000" w:themeColor="text1"/>
          <w:highlight w:val="none"/>
          <w14:textFill>
            <w14:solidFill>
              <w14:schemeClr w14:val="tx1"/>
            </w14:solidFill>
          </w14:textFill>
        </w:rPr>
        <w:t>1</w:t>
      </w:r>
      <w:r>
        <w:rPr>
          <w:b/>
          <w:color w:val="000000" w:themeColor="text1"/>
          <w:highlight w:val="none"/>
          <w14:textFill>
            <w14:solidFill>
              <w14:schemeClr w14:val="tx1"/>
            </w14:solidFill>
          </w14:textFill>
        </w:rPr>
        <w:t>9.10</w:t>
      </w:r>
      <w:r>
        <w:rPr>
          <w:rFonts w:hint="eastAsia"/>
          <w:b/>
          <w:color w:val="000000" w:themeColor="text1"/>
          <w:highlight w:val="none"/>
          <w14:textFill>
            <w14:solidFill>
              <w14:schemeClr w14:val="tx1"/>
            </w14:solidFill>
          </w14:textFill>
        </w:rPr>
        <w:t>条款</w:t>
      </w:r>
      <w:r>
        <w:rPr>
          <w:b/>
          <w:color w:val="000000" w:themeColor="text1"/>
          <w:highlight w:val="none"/>
          <w14:textFill>
            <w14:solidFill>
              <w14:schemeClr w14:val="tx1"/>
            </w14:solidFill>
          </w14:textFill>
        </w:rPr>
        <w:t>处理：</w:t>
      </w:r>
    </w:p>
    <w:p w14:paraId="16DDE073">
      <w:pPr>
        <w:pStyle w:val="17"/>
        <w:spacing w:line="360" w:lineRule="auto"/>
        <w:ind w:firstLine="48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w:t>
      </w:r>
      <w:r>
        <w:rPr>
          <w:rFonts w:hint="eastAsia"/>
          <w:b/>
          <w:color w:val="000000" w:themeColor="text1"/>
          <w:highlight w:val="none"/>
          <w14:textFill>
            <w14:solidFill>
              <w14:schemeClr w14:val="tx1"/>
            </w14:solidFill>
          </w14:textFill>
        </w:rPr>
        <w:t>0</w:t>
      </w:r>
      <w:r>
        <w:rPr>
          <w:b/>
          <w:color w:val="000000" w:themeColor="text1"/>
          <w:highlight w:val="none"/>
          <w14:textFill>
            <w14:solidFill>
              <w14:schemeClr w14:val="tx1"/>
            </w14:solidFill>
          </w14:textFill>
        </w:rPr>
        <w:t>.2.2.6有下列情形之一的予以废标，同时将废标理由通知所有供应商</w:t>
      </w:r>
    </w:p>
    <w:p w14:paraId="58F86BA6">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除</w:t>
      </w:r>
      <w:r>
        <w:rPr>
          <w:rFonts w:hint="eastAsia"/>
          <w:color w:val="000000" w:themeColor="text1"/>
          <w:highlight w:val="none"/>
          <w14:textFill>
            <w14:solidFill>
              <w14:schemeClr w14:val="tx1"/>
            </w14:solidFill>
          </w14:textFill>
        </w:rPr>
        <w:t>19.10</w:t>
      </w:r>
      <w:r>
        <w:rPr>
          <w:color w:val="000000" w:themeColor="text1"/>
          <w:highlight w:val="none"/>
          <w14:textFill>
            <w14:solidFill>
              <w14:schemeClr w14:val="tx1"/>
            </w14:solidFill>
          </w14:textFill>
        </w:rPr>
        <w:t>中规定的情形外，符合资格条件的供应商或者对采购文件作实质性响应的供应商不足三家的；</w:t>
      </w:r>
    </w:p>
    <w:p w14:paraId="4D46B145">
      <w:pPr>
        <w:pStyle w:val="17"/>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出现影响采购公正的违法、违规行为的；</w:t>
      </w:r>
    </w:p>
    <w:p w14:paraId="2C0B8879">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因重大变故，采购任务取消的；</w:t>
      </w:r>
    </w:p>
    <w:p w14:paraId="517F4CB8">
      <w:pPr>
        <w:pStyle w:val="17"/>
        <w:widowControl/>
        <w:numPr>
          <w:ilvl w:val="0"/>
          <w:numId w:val="3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采购文件存在歧义、重大缺陷，或者采购文件内容违反国家有关强制性规定的；</w:t>
      </w:r>
    </w:p>
    <w:p w14:paraId="1BAF029E">
      <w:pPr>
        <w:pStyle w:val="17"/>
        <w:numPr>
          <w:ilvl w:val="0"/>
          <w:numId w:val="31"/>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响应文件的进一步评审</w:t>
      </w:r>
    </w:p>
    <w:p w14:paraId="24041DB9">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评审委员会将对确定为实质性响应的响应文件进行进一步评审，看其是否有计算上或累加上的算术错误，修正错误的原则如下：</w:t>
      </w:r>
    </w:p>
    <w:p w14:paraId="4CF51022">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如果用数字表示的金额和用文字表示的金额不一致时，应以文字表示的金额为准进行修正；</w:t>
      </w:r>
    </w:p>
    <w:p w14:paraId="7078BE97">
      <w:pPr>
        <w:pStyle w:val="17"/>
        <w:numPr>
          <w:ilvl w:val="0"/>
          <w:numId w:val="3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当单价与数量的乘积和总价不一致时，以单价为准进行修正。只有在评审委员会认为单价有明显的小数点错误时，才能以标出的总价为准，并修改单价。</w:t>
      </w:r>
    </w:p>
    <w:p w14:paraId="6334A9AE">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评审委员会将按上述修正错误的方法调整响应文件中的响应价，调整后的价格应对供应商具有约束力。如果供应商不接受修正后的价格，则其响应将被拒绝。</w:t>
      </w:r>
    </w:p>
    <w:p w14:paraId="765E57BE">
      <w:pPr>
        <w:pStyle w:val="17"/>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评审委员会将允许修正响应文件中不构成重大偏离的、微小的、非正规的、不一致的或不规则的地方，但这些修改不能影响任何供应商相应的名次排列。</w:t>
      </w:r>
    </w:p>
    <w:p w14:paraId="1C590491">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1E1101EC">
      <w:pPr>
        <w:pStyle w:val="17"/>
        <w:widowControl/>
        <w:numPr>
          <w:ilvl w:val="0"/>
          <w:numId w:val="3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评价。按照采购文件中规定的评审方法和标准，对资格性检查和符合性检查合格的响应文件进行</w:t>
      </w:r>
      <w:r>
        <w:rPr>
          <w:rFonts w:hint="eastAsia"/>
          <w:color w:val="000000" w:themeColor="text1"/>
          <w:highlight w:val="none"/>
          <w14:textFill>
            <w14:solidFill>
              <w14:schemeClr w14:val="tx1"/>
            </w14:solidFill>
          </w14:textFill>
        </w:rPr>
        <w:t>评价</w:t>
      </w:r>
      <w:r>
        <w:rPr>
          <w:color w:val="000000" w:themeColor="text1"/>
          <w:highlight w:val="none"/>
          <w14:textFill>
            <w14:solidFill>
              <w14:schemeClr w14:val="tx1"/>
            </w14:solidFill>
          </w14:textFill>
        </w:rPr>
        <w:t>。</w:t>
      </w:r>
    </w:p>
    <w:p w14:paraId="0D838D02">
      <w:pPr>
        <w:pStyle w:val="17"/>
        <w:widowControl/>
        <w:numPr>
          <w:ilvl w:val="0"/>
          <w:numId w:val="2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评审方法和标准</w:t>
      </w:r>
    </w:p>
    <w:p w14:paraId="0AC54A24">
      <w:pPr>
        <w:pStyle w:val="17"/>
        <w:widowControl/>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采用综合评分法。即在响应文件满足采购文件全部实质性要求前提下，按照评审因素的量化指标评分。</w:t>
      </w:r>
    </w:p>
    <w:p w14:paraId="4DB9F456">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综合评分的主要因素是：价格、技术、服务、业绩、履约能力等。</w:t>
      </w:r>
    </w:p>
    <w:p w14:paraId="71DF55FD">
      <w:pPr>
        <w:pStyle w:val="17"/>
        <w:numPr>
          <w:ilvl w:val="0"/>
          <w:numId w:val="3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评分标准详见文件第三章。</w:t>
      </w:r>
    </w:p>
    <w:p w14:paraId="1FF2C771">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确定成交供应商</w:t>
      </w:r>
    </w:p>
    <w:p w14:paraId="3FDA0FB2">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在综合</w:t>
      </w:r>
      <w:r>
        <w:rPr>
          <w:rFonts w:hint="eastAsia"/>
          <w:color w:val="000000" w:themeColor="text1"/>
          <w:highlight w:val="none"/>
          <w14:textFill>
            <w14:solidFill>
              <w14:schemeClr w14:val="tx1"/>
            </w14:solidFill>
          </w14:textFill>
        </w:rPr>
        <w:t>评审</w:t>
      </w:r>
      <w:r>
        <w:rPr>
          <w:color w:val="000000" w:themeColor="text1"/>
          <w:highlight w:val="none"/>
          <w14:textFill>
            <w14:solidFill>
              <w14:schemeClr w14:val="tx1"/>
            </w14:solidFill>
          </w14:textFill>
        </w:rPr>
        <w:t>后按照得分由高到低顺序对供应商进行排序。评审委员会按综合得分排名推荐3名成交候选人。得分相同的，按响应报价由低到高顺序排列。按以下第</w:t>
      </w:r>
      <w:r>
        <w:rPr>
          <w:color w:val="000000" w:themeColor="text1"/>
          <w:highlight w:val="none"/>
          <w:u w:val="single"/>
          <w14:textFill>
            <w14:solidFill>
              <w14:schemeClr w14:val="tx1"/>
            </w14:solidFill>
          </w14:textFill>
        </w:rPr>
        <w:t>（2）</w:t>
      </w:r>
      <w:r>
        <w:rPr>
          <w:color w:val="000000" w:themeColor="text1"/>
          <w:highlight w:val="none"/>
          <w14:textFill>
            <w14:solidFill>
              <w14:schemeClr w14:val="tx1"/>
            </w14:solidFill>
          </w14:textFill>
        </w:rPr>
        <w:t>种方式确定成交供应商</w:t>
      </w:r>
    </w:p>
    <w:p w14:paraId="2B98EABE">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评审委员会直接确定排名第一的成交候选人为成交供应商；</w:t>
      </w:r>
    </w:p>
    <w:p w14:paraId="24725504">
      <w:pPr>
        <w:pStyle w:val="17"/>
        <w:numPr>
          <w:ilvl w:val="0"/>
          <w:numId w:val="4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采购人项目单位在评审委员会推荐的成交候选人中按顺序确定成交供应商。</w:t>
      </w:r>
    </w:p>
    <w:p w14:paraId="513433B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5AB02B2C">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成交供应商确定之日起两个工作日内，将在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南京邮电大学校园网</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发布公告，并向成交供应商发出《成交通知书》。</w:t>
      </w:r>
    </w:p>
    <w:p w14:paraId="33752C53">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《成交通知书》对采购人和成交供应商具有同等法律效力。</w:t>
      </w:r>
    </w:p>
    <w:p w14:paraId="313230DD">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《成交通知书》发出后，成交供应商无正当理由不与采购人签订合同的，应当依法承担法律责任。</w:t>
      </w:r>
    </w:p>
    <w:p w14:paraId="6D89576A">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代理机构和评审委员会对未成交的供应商不作未成交原因的解释。</w:t>
      </w:r>
    </w:p>
    <w:p w14:paraId="48EB6223">
      <w:pPr>
        <w:pStyle w:val="17"/>
        <w:numPr>
          <w:ilvl w:val="0"/>
          <w:numId w:val="3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所有响应文件不论成交与否均不退回。</w:t>
      </w:r>
    </w:p>
    <w:p w14:paraId="0920B076">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编写评审报告</w:t>
      </w:r>
    </w:p>
    <w:p w14:paraId="461E46E1">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评审委员会根据全体评审成员签字的原始评审记录和评审结果编写评审报告。</w:t>
      </w:r>
    </w:p>
    <w:p w14:paraId="1291FF6E">
      <w:pPr>
        <w:pStyle w:val="17"/>
        <w:numPr>
          <w:ilvl w:val="0"/>
          <w:numId w:val="26"/>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评审过程的保密</w:t>
      </w:r>
    </w:p>
    <w:p w14:paraId="0600E2B3">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代理机构将采取必要措施，保证评审在严格保密的情况下进行。</w:t>
      </w:r>
    </w:p>
    <w:p w14:paraId="6B05A84B">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任何单位和个人不得非法干预、影响评审办法的确定，以及评审过程和结果。</w:t>
      </w:r>
    </w:p>
    <w:p w14:paraId="53163916">
      <w:pPr>
        <w:pStyle w:val="17"/>
        <w:numPr>
          <w:ilvl w:val="0"/>
          <w:numId w:val="4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凡是与审查、澄清、评价和比较响应的有关资料等，均不得向供应商及与评审无关的人员透露。</w:t>
      </w:r>
    </w:p>
    <w:p w14:paraId="1698D3F1">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签订合同</w:t>
      </w:r>
    </w:p>
    <w:p w14:paraId="00077AF4">
      <w:pPr>
        <w:pStyle w:val="17"/>
        <w:spacing w:line="360" w:lineRule="auto"/>
        <w:ind w:firstLine="482"/>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24.签订合同</w:t>
      </w:r>
    </w:p>
    <w:p w14:paraId="3A04912C">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5C42171B">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采购人不得向成交供应商提出任何不合理的要求作为签订合同的条件，不得与成交供应商私下订立背离合同实质性内容的协议。</w:t>
      </w:r>
    </w:p>
    <w:p w14:paraId="6E7D5147">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58A41544">
      <w:pPr>
        <w:pStyle w:val="17"/>
        <w:numPr>
          <w:ilvl w:val="0"/>
          <w:numId w:val="4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采购合同履行中，采购人需追加与合同标的相同服务的，在不改变合同其他条款的前提下，可以与供应商协商签订补充合同，但所有补充合同的采购金额不得超过原合同采购金额的百分之十。</w:t>
      </w:r>
    </w:p>
    <w:p w14:paraId="29D0B0F0">
      <w:pPr>
        <w:pStyle w:val="17"/>
        <w:numPr>
          <w:ilvl w:val="0"/>
          <w:numId w:val="8"/>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询问、质疑、投诉和诚实信用</w:t>
      </w:r>
    </w:p>
    <w:p w14:paraId="4620BBDB">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询问提出与答复</w:t>
      </w:r>
    </w:p>
    <w:p w14:paraId="70D3A423">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供应商对采购活动事项有疑问的，如认为采购文件表述有歧义或表述不清，或了解本公司响应被拒绝详细理由等事项，可以通过电话、信函、电子邮件、传真等方式向采购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、代理机构（以下简称被询问人）提出询问。</w:t>
      </w:r>
    </w:p>
    <w:p w14:paraId="024CBBEB">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被询问人应当认真审查询问事项，并在 3 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54D1DAB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对采购文件资格条件、采购需求、评审办法等实质性内容提出的询问，被询问人可以按照审慎原则组织专家论证，参考论证意见进行澄清、修改和答复。</w:t>
      </w:r>
    </w:p>
    <w:p w14:paraId="11C1A9F5">
      <w:pPr>
        <w:pStyle w:val="17"/>
        <w:numPr>
          <w:ilvl w:val="0"/>
          <w:numId w:val="44"/>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如供应商询问事项涉及依法应当保密的内容，被询问人不予答复，向供应商说明理由和依据。</w:t>
      </w:r>
    </w:p>
    <w:p w14:paraId="4DA1DAF1">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质疑提出与答复</w:t>
      </w:r>
    </w:p>
    <w:p w14:paraId="55593F91">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供应商认为采购文件、采购过程、成交或者成交结果使自己的权益受到损害的，可以在知道或者应知其权益受到损害之日起规定质疑期 5 个工作日内，以书面形式向采购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、代理机构提出质疑。</w:t>
      </w:r>
    </w:p>
    <w:p w14:paraId="5BE88CB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26.1.1供应商在规定质疑期内应一次性提出针对同一采购程序环节的质疑。</w:t>
      </w:r>
    </w:p>
    <w:p w14:paraId="036B5008">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供应商知道或者应知其权益受到损害之日，是指：</w:t>
      </w:r>
    </w:p>
    <w:p w14:paraId="46E9E692">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对可以质疑的采购文件提出质疑的，为收到采购文件之日或者采购文件公告期限届满之日；</w:t>
      </w:r>
    </w:p>
    <w:p w14:paraId="163F5A90">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对采购过程提出质疑的，为各采购程序环节结束之日；</w:t>
      </w:r>
    </w:p>
    <w:p w14:paraId="178212E4">
      <w:pPr>
        <w:pStyle w:val="17"/>
        <w:numPr>
          <w:ilvl w:val="0"/>
          <w:numId w:val="46"/>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对成交或者成交结果提出质疑的，为成交或者成交结果公告期限届满之日。</w:t>
      </w:r>
    </w:p>
    <w:p w14:paraId="741B80BA">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提出质疑的供应商应当是参与所质疑项目采购活动的供应商。潜在供应商已依法获取其可质疑的采购文件的，可以对该文件提出质疑。</w:t>
      </w:r>
    </w:p>
    <w:p w14:paraId="5E265FD9">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供应商提出质疑应当提交质疑函和必要的证明材料。质疑函应当包括下列内容：</w:t>
      </w:r>
    </w:p>
    <w:p w14:paraId="0137E07A">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供应商的姓名或者名称、地址、邮编、联系人及联系电话；</w:t>
      </w:r>
    </w:p>
    <w:p w14:paraId="57AB5739">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质疑项目的名称、编号；</w:t>
      </w:r>
    </w:p>
    <w:p w14:paraId="633E1AAB">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具体、明确的质疑事项和与质疑事项相关的请求；</w:t>
      </w:r>
    </w:p>
    <w:p w14:paraId="60920C2D">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5DEA166D">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必要的法律依据；</w:t>
      </w:r>
    </w:p>
    <w:p w14:paraId="786B4C01">
      <w:pPr>
        <w:pStyle w:val="17"/>
        <w:numPr>
          <w:ilvl w:val="0"/>
          <w:numId w:val="47"/>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提出质疑的日期。</w:t>
      </w:r>
    </w:p>
    <w:p w14:paraId="474FBE9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供应商为自然人的，应当由本人签字；供应商为法人或者其他组织的，应当由法定代表人、主要负责人，或者其授权代表签字或者盖章，并加盖公章。</w:t>
      </w:r>
    </w:p>
    <w:p w14:paraId="594FAD5A">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、代理机构不得拒收质疑供应商在规定质疑期内发出的质疑函。质疑函通过邮寄送达的，按交邮时间计算。逾期送达的，不予接收。</w:t>
      </w:r>
    </w:p>
    <w:p w14:paraId="60BA3142">
      <w:pPr>
        <w:pStyle w:val="17"/>
        <w:numPr>
          <w:ilvl w:val="0"/>
          <w:numId w:val="45"/>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、代理机构告知供应商（或代理人）需更正或补充的内容，要求其在规定质疑期内补正后提出。审查后发现质疑函存在下列情形之一的，采购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、代理机构不予受理，并书面告知理由：</w:t>
      </w:r>
    </w:p>
    <w:p w14:paraId="62008977">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供应商不是参与所质疑项目采购活动的供应商或依法获取可质疑采购文件的潜在供应商；</w:t>
      </w:r>
    </w:p>
    <w:p w14:paraId="49A687ED">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潜在供应商所质疑事项均为采购文件以外的事项；</w:t>
      </w:r>
    </w:p>
    <w:p w14:paraId="14B965F1">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供应商提交质疑的时间已超过规定质疑期。</w:t>
      </w:r>
    </w:p>
    <w:p w14:paraId="27889609">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质疑函未按规定签字、盖章，或代理人提出质疑未提交供应商签署的授权委托书，采购</w:t>
      </w:r>
      <w:r>
        <w:rPr>
          <w:rFonts w:hint="eastAsia"/>
          <w:color w:val="000000" w:themeColor="text1"/>
          <w:highlight w:val="none"/>
          <w14:textFill>
            <w14:solidFill>
              <w14:schemeClr w14:val="tx1"/>
            </w14:solidFill>
          </w14:textFill>
        </w:rPr>
        <w:t>人</w:t>
      </w:r>
      <w:r>
        <w:rPr>
          <w:color w:val="000000" w:themeColor="text1"/>
          <w:highlight w:val="none"/>
          <w14:textFill>
            <w14:solidFill>
              <w14:schemeClr w14:val="tx1"/>
            </w14:solidFill>
          </w14:textFill>
        </w:rPr>
        <w:t>、代理机构告知后，供应商或代理人未在规定质疑期内补正后提出的。</w:t>
      </w:r>
    </w:p>
    <w:p w14:paraId="3DF095AF">
      <w:pPr>
        <w:pStyle w:val="17"/>
        <w:numPr>
          <w:ilvl w:val="0"/>
          <w:numId w:val="48"/>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其它不符合受理条件的情形。</w:t>
      </w:r>
    </w:p>
    <w:p w14:paraId="51AB402D">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投诉提起与处理</w:t>
      </w:r>
    </w:p>
    <w:p w14:paraId="31C9E3E0">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投诉提起</w:t>
      </w:r>
    </w:p>
    <w:p w14:paraId="2937E6F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质疑供应商对代理机构的答复不满意，或者代理机构未在规定时间内作出答复的，可</w:t>
      </w:r>
      <w:r>
        <w:rPr>
          <w:rFonts w:hint="eastAsia"/>
          <w:color w:val="000000" w:themeColor="text1"/>
          <w:highlight w:val="none"/>
          <w14:textFill>
            <w14:solidFill>
              <w14:schemeClr w14:val="tx1"/>
            </w14:solidFill>
          </w14:textFill>
        </w:rPr>
        <w:t>可以在答复期满后10日内</w:t>
      </w:r>
      <w:r>
        <w:rPr>
          <w:color w:val="000000" w:themeColor="text1"/>
          <w:highlight w:val="none"/>
          <w14:textFill>
            <w14:solidFill>
              <w14:schemeClr w14:val="tx1"/>
            </w14:solidFill>
          </w14:textFill>
        </w:rPr>
        <w:t>向有关行政监督部门提起投诉。</w:t>
      </w:r>
    </w:p>
    <w:p w14:paraId="60A34181">
      <w:pPr>
        <w:pStyle w:val="17"/>
        <w:numPr>
          <w:ilvl w:val="0"/>
          <w:numId w:val="4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供应商投诉时，应当提交投诉书和必要的证明材料。投诉书应当包括下列内容：</w:t>
      </w:r>
    </w:p>
    <w:p w14:paraId="7214D42B">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投诉人和被投诉人的姓名或者名称、通讯地址、邮编、联系人及联系电话；</w:t>
      </w:r>
    </w:p>
    <w:p w14:paraId="241C5B73">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质疑和质疑答复情况说明及相关证明材料；</w:t>
      </w:r>
    </w:p>
    <w:p w14:paraId="6EED1EEB">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具体、明确的投诉事项和与投诉事项相关的投诉请求；</w:t>
      </w:r>
    </w:p>
    <w:p w14:paraId="19C81CE7">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事实依据；</w:t>
      </w:r>
    </w:p>
    <w:p w14:paraId="2D098364">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法律依据；</w:t>
      </w:r>
    </w:p>
    <w:p w14:paraId="61025304">
      <w:pPr>
        <w:pStyle w:val="17"/>
        <w:numPr>
          <w:ilvl w:val="0"/>
          <w:numId w:val="50"/>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提起投诉的日期。</w:t>
      </w:r>
    </w:p>
    <w:p w14:paraId="3137A96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投诉人为自然人的，应当由本人签字；投诉人为法人或者其他组织的，应当由法定代表人、主要负责人，或者其授权代表签字或者盖章，并加盖公章。</w:t>
      </w:r>
    </w:p>
    <w:p w14:paraId="3F6BA6CB">
      <w:pPr>
        <w:pStyle w:val="17"/>
        <w:numPr>
          <w:ilvl w:val="0"/>
          <w:numId w:val="43"/>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诚实信用</w:t>
      </w:r>
    </w:p>
    <w:p w14:paraId="1FEA9EAD">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供应商之间不得相互串通响应报价，不得妨碍其他供应商的公平竞争，不得损害采购人和其他供应商的合法权益。</w:t>
      </w:r>
    </w:p>
    <w:p w14:paraId="06D6200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供应商不得向代理机构工作人员、评审委员会成员行贿或者采取其他不正当手段谋取成交。经查实供应商有此行为的，采购管理部门将供应商列入不良行为记录名单，按照有关规定处理。</w:t>
      </w:r>
    </w:p>
    <w:p w14:paraId="5F976377">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4DCFAB8A">
      <w:pPr>
        <w:pStyle w:val="17"/>
        <w:numPr>
          <w:ilvl w:val="0"/>
          <w:numId w:val="5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供应商不得虚假承诺，否则，按照提供虚假材料谋取成交处理。</w:t>
      </w:r>
    </w:p>
    <w:p w14:paraId="32F4A8C5">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6EFB6D06">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第三章  评</w:t>
      </w:r>
      <w:r>
        <w:rPr>
          <w:rFonts w:hint="eastAsia"/>
          <w:color w:val="000000" w:themeColor="text1"/>
          <w:highlight w:val="none"/>
          <w14:textFill>
            <w14:solidFill>
              <w14:schemeClr w14:val="tx1"/>
            </w14:solidFill>
          </w14:textFill>
        </w:rPr>
        <w:t>审</w:t>
      </w:r>
      <w:r>
        <w:rPr>
          <w:color w:val="000000" w:themeColor="text1"/>
          <w:highlight w:val="none"/>
          <w14:textFill>
            <w14:solidFill>
              <w14:schemeClr w14:val="tx1"/>
            </w14:solidFill>
          </w14:textFill>
        </w:rPr>
        <w:t>标准</w:t>
      </w:r>
    </w:p>
    <w:p w14:paraId="3E9268C1">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评审方法与</w:t>
      </w:r>
      <w:r>
        <w:rPr>
          <w:rFonts w:hint="eastAsia"/>
          <w:b/>
          <w:color w:val="000000" w:themeColor="text1"/>
          <w:highlight w:val="none"/>
          <w14:textFill>
            <w14:solidFill>
              <w14:schemeClr w14:val="tx1"/>
            </w14:solidFill>
          </w14:textFill>
        </w:rPr>
        <w:t>确定成交供应商</w:t>
      </w:r>
      <w:r>
        <w:rPr>
          <w:b/>
          <w:color w:val="000000" w:themeColor="text1"/>
          <w:highlight w:val="none"/>
          <w14:textFill>
            <w14:solidFill>
              <w14:schemeClr w14:val="tx1"/>
            </w14:solidFill>
          </w14:textFill>
        </w:rPr>
        <w:t>原则</w:t>
      </w:r>
    </w:p>
    <w:p w14:paraId="11C98B68">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本项目采用综合评分法。评审工作组将对确定为实质性响应采购文件要求的响应文件进行评审，评分统计方法采用百分制（满分100分），将全部评委评分直接进行算术平均，小数点后保留2位。</w:t>
      </w:r>
    </w:p>
    <w:p w14:paraId="7BF5DFB5">
      <w:pPr>
        <w:pStyle w:val="17"/>
        <w:spacing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评审委员会根据供应商总得分由高到低的顺序推荐前三名作为成交候选人。总得分相同的，按响应报价由低到高顺序排列；总得分及响应报价相同的，由评审委员会按照评审因素的量化指标评审得分最高的供应商为排名第一的成交候选人。</w:t>
      </w:r>
    </w:p>
    <w:p w14:paraId="2294152C">
      <w:pPr>
        <w:pStyle w:val="17"/>
        <w:numPr>
          <w:ilvl w:val="0"/>
          <w:numId w:val="52"/>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评分标准</w:t>
      </w:r>
    </w:p>
    <w:p w14:paraId="25FCFA8C">
      <w:pPr>
        <w:spacing w:line="360" w:lineRule="auto"/>
        <w:rPr>
          <w:rFonts w:hint="eastAsia" w:ascii="宋体" w:hAnsi="宋体"/>
          <w:b/>
          <w:bCs/>
          <w:highlight w:val="none"/>
        </w:rPr>
      </w:pPr>
      <w:r>
        <w:rPr>
          <w:rFonts w:hint="eastAsia" w:ascii="宋体" w:hAnsi="宋体"/>
          <w:b/>
          <w:bCs/>
          <w:highlight w:val="none"/>
        </w:rPr>
        <w:t>2.1初步评审</w:t>
      </w:r>
    </w:p>
    <w:tbl>
      <w:tblPr>
        <w:tblStyle w:val="45"/>
        <w:tblW w:w="9247" w:type="dxa"/>
        <w:tblInd w:w="0" w:type="dxa"/>
        <w:tblLayout w:type="fixed"/>
        <w:tblCellMar>
          <w:top w:w="0" w:type="dxa"/>
          <w:left w:w="108" w:type="dxa"/>
          <w:bottom w:w="0" w:type="dxa"/>
          <w:right w:w="108" w:type="dxa"/>
        </w:tblCellMar>
      </w:tblPr>
      <w:tblGrid>
        <w:gridCol w:w="796"/>
        <w:gridCol w:w="2436"/>
        <w:gridCol w:w="6015"/>
      </w:tblGrid>
      <w:tr w14:paraId="0626F01B">
        <w:tblPrEx>
          <w:tblCellMar>
            <w:top w:w="0" w:type="dxa"/>
            <w:left w:w="108" w:type="dxa"/>
            <w:bottom w:w="0" w:type="dxa"/>
            <w:right w:w="108" w:type="dxa"/>
          </w:tblCellMar>
        </w:tblPrEx>
        <w:trPr>
          <w:trHeight w:val="454" w:hRule="atLeast"/>
          <w:tblHeader/>
        </w:trPr>
        <w:tc>
          <w:tcPr>
            <w:tcW w:w="3232" w:type="dxa"/>
            <w:gridSpan w:val="2"/>
            <w:tcBorders>
              <w:top w:val="single" w:color="auto" w:sz="8" w:space="0"/>
              <w:left w:val="single" w:color="auto" w:sz="8" w:space="0"/>
              <w:bottom w:val="single" w:color="auto" w:sz="8" w:space="0"/>
              <w:right w:val="single" w:color="000000" w:sz="8" w:space="0"/>
            </w:tcBorders>
            <w:vAlign w:val="center"/>
          </w:tcPr>
          <w:p w14:paraId="7524A439">
            <w:pPr>
              <w:widowControl/>
              <w:ind w:left="218" w:leftChars="104"/>
              <w:jc w:val="center"/>
              <w:rPr>
                <w:rFonts w:hint="eastAsia" w:ascii="宋体" w:hAnsi="宋体" w:cs="宋体"/>
                <w:b/>
                <w:bCs/>
                <w:szCs w:val="21"/>
                <w:highlight w:val="none"/>
              </w:rPr>
            </w:pPr>
            <w:bookmarkStart w:id="6" w:name="_Hlk178325456"/>
            <w:r>
              <w:rPr>
                <w:rFonts w:hint="eastAsia" w:ascii="宋体" w:hAnsi="宋体" w:cs="宋体"/>
                <w:b/>
                <w:bCs/>
                <w:szCs w:val="21"/>
                <w:highlight w:val="none"/>
              </w:rPr>
              <w:t>评审因素</w:t>
            </w:r>
          </w:p>
        </w:tc>
        <w:tc>
          <w:tcPr>
            <w:tcW w:w="6015" w:type="dxa"/>
            <w:tcBorders>
              <w:top w:val="single" w:color="auto" w:sz="8" w:space="0"/>
              <w:left w:val="nil"/>
              <w:bottom w:val="single" w:color="auto" w:sz="8" w:space="0"/>
              <w:right w:val="single" w:color="auto" w:sz="8" w:space="0"/>
            </w:tcBorders>
            <w:vAlign w:val="center"/>
          </w:tcPr>
          <w:p w14:paraId="19BD16F8">
            <w:pPr>
              <w:widowControl/>
              <w:jc w:val="center"/>
              <w:rPr>
                <w:rFonts w:hint="eastAsia" w:ascii="宋体" w:hAnsi="宋体" w:cs="宋体"/>
                <w:b/>
                <w:bCs/>
                <w:szCs w:val="21"/>
                <w:highlight w:val="none"/>
              </w:rPr>
            </w:pPr>
            <w:r>
              <w:rPr>
                <w:rFonts w:hint="eastAsia" w:ascii="宋体" w:hAnsi="宋体" w:cs="宋体"/>
                <w:b/>
                <w:bCs/>
                <w:szCs w:val="21"/>
                <w:highlight w:val="none"/>
              </w:rPr>
              <w:t>评审标准</w:t>
            </w:r>
          </w:p>
        </w:tc>
      </w:tr>
      <w:tr w14:paraId="4BCBD1FF">
        <w:tblPrEx>
          <w:tblCellMar>
            <w:top w:w="0" w:type="dxa"/>
            <w:left w:w="108" w:type="dxa"/>
            <w:bottom w:w="0" w:type="dxa"/>
            <w:right w:w="108" w:type="dxa"/>
          </w:tblCellMar>
        </w:tblPrEx>
        <w:trPr>
          <w:trHeight w:val="454" w:hRule="atLeast"/>
        </w:trPr>
        <w:tc>
          <w:tcPr>
            <w:tcW w:w="796" w:type="dxa"/>
            <w:vMerge w:val="restart"/>
            <w:tcBorders>
              <w:top w:val="nil"/>
              <w:left w:val="single" w:color="auto" w:sz="8" w:space="0"/>
              <w:right w:val="single" w:color="auto" w:sz="8" w:space="0"/>
            </w:tcBorders>
            <w:vAlign w:val="center"/>
          </w:tcPr>
          <w:p w14:paraId="1ED5DE47">
            <w:pPr>
              <w:widowControl/>
              <w:jc w:val="center"/>
              <w:rPr>
                <w:rFonts w:hint="eastAsia" w:ascii="宋体" w:hAnsi="宋体" w:cs="宋体"/>
                <w:szCs w:val="21"/>
                <w:highlight w:val="none"/>
              </w:rPr>
            </w:pPr>
            <w:r>
              <w:rPr>
                <w:rFonts w:hint="eastAsia" w:ascii="宋体" w:hAnsi="宋体" w:cs="宋体"/>
                <w:szCs w:val="21"/>
                <w:highlight w:val="none"/>
              </w:rPr>
              <w:t>资格评审</w:t>
            </w:r>
          </w:p>
        </w:tc>
        <w:tc>
          <w:tcPr>
            <w:tcW w:w="2436" w:type="dxa"/>
            <w:tcBorders>
              <w:top w:val="nil"/>
              <w:left w:val="nil"/>
              <w:bottom w:val="single" w:color="auto" w:sz="8" w:space="0"/>
              <w:right w:val="single" w:color="auto" w:sz="8" w:space="0"/>
            </w:tcBorders>
            <w:vAlign w:val="center"/>
          </w:tcPr>
          <w:p w14:paraId="0DBD128D">
            <w:pPr>
              <w:widowControl/>
              <w:jc w:val="center"/>
              <w:rPr>
                <w:rFonts w:hint="eastAsia" w:ascii="宋体" w:hAnsi="宋体" w:cs="宋体"/>
                <w:szCs w:val="21"/>
                <w:highlight w:val="none"/>
              </w:rPr>
            </w:pPr>
            <w:r>
              <w:rPr>
                <w:rFonts w:hint="eastAsia" w:ascii="宋体" w:hAnsi="宋体" w:cs="宋体"/>
                <w:szCs w:val="21"/>
                <w:highlight w:val="none"/>
              </w:rPr>
              <w:t>基本要求</w:t>
            </w:r>
          </w:p>
        </w:tc>
        <w:tc>
          <w:tcPr>
            <w:tcW w:w="6015" w:type="dxa"/>
            <w:tcBorders>
              <w:top w:val="nil"/>
              <w:left w:val="nil"/>
              <w:bottom w:val="single" w:color="auto" w:sz="8" w:space="0"/>
              <w:right w:val="single" w:color="auto" w:sz="8" w:space="0"/>
            </w:tcBorders>
            <w:vAlign w:val="center"/>
          </w:tcPr>
          <w:p w14:paraId="297D6D03">
            <w:pPr>
              <w:widowControl/>
              <w:jc w:val="left"/>
              <w:rPr>
                <w:rFonts w:hint="eastAsia" w:ascii="宋体" w:hAnsi="宋体" w:cs="宋体"/>
                <w:szCs w:val="21"/>
                <w:highlight w:val="none"/>
              </w:rPr>
            </w:pPr>
            <w:r>
              <w:rPr>
                <w:rFonts w:hint="eastAsia" w:ascii="宋体" w:hAnsi="宋体" w:cs="宋体"/>
                <w:szCs w:val="21"/>
                <w:highlight w:val="none"/>
              </w:rPr>
              <w:t>法人或者其他组织的营业执照等证明文件，自然人的身份证明，</w:t>
            </w:r>
            <w:r>
              <w:rPr>
                <w:rFonts w:hint="eastAsia" w:ascii="宋体" w:hAnsi="宋体" w:cs="宋体"/>
                <w:b/>
                <w:bCs/>
                <w:szCs w:val="21"/>
                <w:highlight w:val="none"/>
              </w:rPr>
              <w:t>提供相关证明材料加盖公章</w:t>
            </w:r>
            <w:r>
              <w:rPr>
                <w:rFonts w:hint="eastAsia" w:ascii="宋体" w:hAnsi="宋体" w:cs="宋体"/>
                <w:szCs w:val="21"/>
                <w:highlight w:val="none"/>
              </w:rPr>
              <w:t>。</w:t>
            </w:r>
          </w:p>
        </w:tc>
      </w:tr>
      <w:tr w14:paraId="2CEE000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5440F88">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7F14C3D2">
            <w:pPr>
              <w:widowControl/>
              <w:jc w:val="center"/>
              <w:rPr>
                <w:rFonts w:hint="eastAsia" w:ascii="宋体" w:hAnsi="宋体" w:cs="宋体"/>
                <w:szCs w:val="21"/>
                <w:highlight w:val="none"/>
              </w:rPr>
            </w:pPr>
            <w:r>
              <w:rPr>
                <w:rFonts w:hint="eastAsia" w:ascii="宋体" w:hAnsi="宋体" w:cs="宋体"/>
                <w:szCs w:val="21"/>
                <w:highlight w:val="none"/>
              </w:rPr>
              <w:t>财务状况</w:t>
            </w:r>
          </w:p>
        </w:tc>
        <w:tc>
          <w:tcPr>
            <w:tcW w:w="6015" w:type="dxa"/>
            <w:tcBorders>
              <w:top w:val="nil"/>
              <w:left w:val="nil"/>
              <w:bottom w:val="single" w:color="auto" w:sz="8" w:space="0"/>
              <w:right w:val="single" w:color="auto" w:sz="8" w:space="0"/>
            </w:tcBorders>
            <w:vAlign w:val="center"/>
          </w:tcPr>
          <w:p w14:paraId="5AA95350">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具有良好的商业信誉和健全的财务会计制度（</w:t>
            </w:r>
            <w:r>
              <w:rPr>
                <w:rFonts w:hint="eastAsia" w:ascii="宋体" w:hAnsi="宋体"/>
                <w:color w:val="000000" w:themeColor="text1"/>
                <w:szCs w:val="21"/>
                <w:highlight w:val="none"/>
                <w14:textFill>
                  <w14:solidFill>
                    <w14:schemeClr w14:val="tx1"/>
                  </w14:solidFill>
                </w14:textFill>
              </w:rPr>
              <w:t>2025年度的审计报告复印件加盖公章或响应截止时间前半年内（2026年1月至2026年6月）</w:t>
            </w:r>
            <w:r>
              <w:rPr>
                <w:rFonts w:ascii="宋体" w:hAnsi="宋体"/>
                <w:color w:val="000000" w:themeColor="text1"/>
                <w:szCs w:val="2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ascii="宋体" w:hAnsi="宋体"/>
                <w:color w:val="000000" w:themeColor="text1"/>
                <w:szCs w:val="21"/>
                <w:highlight w:val="none"/>
                <w14:textFill>
                  <w14:solidFill>
                    <w14:schemeClr w14:val="tx1"/>
                  </w14:solidFill>
                </w14:textFill>
              </w:rPr>
              <w:t>个月</w:t>
            </w:r>
            <w:r>
              <w:rPr>
                <w:rFonts w:ascii="宋体" w:hAnsi="宋体"/>
                <w:color w:val="000000" w:themeColor="text1"/>
                <w:szCs w:val="21"/>
                <w:highlight w:val="none"/>
                <w14:textFill>
                  <w14:solidFill>
                    <w14:schemeClr w14:val="tx1"/>
                  </w14:solidFill>
                </w14:textFill>
              </w:rPr>
              <w:t>的无须提供）</w:t>
            </w:r>
            <w:r>
              <w:rPr>
                <w:rFonts w:hint="eastAsia" w:ascii="宋体" w:hAnsi="宋体" w:cs="宋体"/>
                <w:b/>
                <w:bCs/>
                <w:szCs w:val="21"/>
                <w:highlight w:val="none"/>
              </w:rPr>
              <w:t>提供证明材料加盖公章</w:t>
            </w:r>
          </w:p>
        </w:tc>
      </w:tr>
      <w:tr w14:paraId="21C0179F">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4182D4F8">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5331072F">
            <w:pPr>
              <w:widowControl/>
              <w:jc w:val="center"/>
              <w:rPr>
                <w:rFonts w:hint="eastAsia" w:ascii="宋体" w:hAnsi="宋体" w:cs="宋体"/>
                <w:szCs w:val="21"/>
                <w:highlight w:val="none"/>
              </w:rPr>
            </w:pPr>
            <w:r>
              <w:rPr>
                <w:rFonts w:hint="eastAsia" w:ascii="宋体" w:hAnsi="宋体" w:cs="宋体"/>
                <w:szCs w:val="21"/>
                <w:highlight w:val="none"/>
              </w:rPr>
              <w:t>技术能力声明</w:t>
            </w:r>
          </w:p>
        </w:tc>
        <w:tc>
          <w:tcPr>
            <w:tcW w:w="6015" w:type="dxa"/>
            <w:tcBorders>
              <w:top w:val="nil"/>
              <w:left w:val="nil"/>
              <w:bottom w:val="single" w:color="auto" w:sz="8" w:space="0"/>
              <w:right w:val="single" w:color="auto" w:sz="8" w:space="0"/>
            </w:tcBorders>
            <w:vAlign w:val="center"/>
          </w:tcPr>
          <w:p w14:paraId="1AED6ECB">
            <w:pPr>
              <w:widowControl/>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具有履行合同所必需的设备和专业技术能力（根据项目需求提供履行合同所必需的设备和专业技术能力的声明函或证明材料）</w:t>
            </w:r>
            <w:r>
              <w:rPr>
                <w:rFonts w:hint="eastAsia" w:ascii="宋体" w:hAnsi="宋体" w:cs="宋体"/>
                <w:b/>
                <w:bCs/>
                <w:szCs w:val="21"/>
                <w:highlight w:val="none"/>
              </w:rPr>
              <w:t>提供原件加盖公章</w:t>
            </w:r>
          </w:p>
        </w:tc>
      </w:tr>
      <w:tr w14:paraId="666A7D0A">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6156F93D">
            <w:pPr>
              <w:widowControl/>
              <w:jc w:val="left"/>
              <w:rPr>
                <w:rFonts w:hint="eastAsia" w:ascii="宋体" w:hAnsi="宋体" w:cs="宋体"/>
                <w:szCs w:val="21"/>
                <w:highlight w:val="none"/>
              </w:rPr>
            </w:pPr>
          </w:p>
        </w:tc>
        <w:tc>
          <w:tcPr>
            <w:tcW w:w="2436" w:type="dxa"/>
            <w:tcBorders>
              <w:top w:val="nil"/>
              <w:left w:val="nil"/>
              <w:bottom w:val="single" w:color="auto" w:sz="8" w:space="0"/>
              <w:right w:val="single" w:color="auto" w:sz="8" w:space="0"/>
            </w:tcBorders>
            <w:vAlign w:val="center"/>
          </w:tcPr>
          <w:p w14:paraId="60A48821">
            <w:pPr>
              <w:widowControl/>
              <w:jc w:val="center"/>
              <w:rPr>
                <w:rFonts w:hint="eastAsia" w:ascii="宋体" w:hAnsi="宋体" w:cs="宋体"/>
                <w:szCs w:val="21"/>
                <w:highlight w:val="none"/>
              </w:rPr>
            </w:pPr>
            <w:r>
              <w:rPr>
                <w:rFonts w:hint="eastAsia" w:ascii="宋体" w:hAnsi="宋体" w:cs="宋体"/>
                <w:szCs w:val="21"/>
                <w:highlight w:val="none"/>
              </w:rPr>
              <w:t>纳税情况</w:t>
            </w:r>
          </w:p>
        </w:tc>
        <w:tc>
          <w:tcPr>
            <w:tcW w:w="6015" w:type="dxa"/>
            <w:tcBorders>
              <w:top w:val="nil"/>
              <w:left w:val="nil"/>
              <w:bottom w:val="single" w:color="auto" w:sz="8" w:space="0"/>
              <w:right w:val="single" w:color="auto" w:sz="8" w:space="0"/>
            </w:tcBorders>
            <w:vAlign w:val="center"/>
          </w:tcPr>
          <w:p w14:paraId="23073434">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有依法缴纳税收和社会保障资金的良好记录（提供响应截止时间前</w:t>
            </w:r>
            <w:r>
              <w:rPr>
                <w:rFonts w:hint="eastAsia" w:ascii="宋体" w:hAnsi="宋体"/>
                <w:color w:val="000000" w:themeColor="text1"/>
                <w:szCs w:val="21"/>
                <w:highlight w:val="none"/>
                <w14:textFill>
                  <w14:solidFill>
                    <w14:schemeClr w14:val="tx1"/>
                  </w14:solidFill>
                </w14:textFill>
              </w:rPr>
              <w:t>半年</w:t>
            </w:r>
            <w:r>
              <w:rPr>
                <w:rFonts w:ascii="宋体" w:hAnsi="宋体"/>
                <w:color w:val="000000" w:themeColor="text1"/>
                <w:szCs w:val="21"/>
                <w:highlight w:val="none"/>
                <w14:textFill>
                  <w14:solidFill>
                    <w14:schemeClr w14:val="tx1"/>
                  </w14:solidFill>
                </w14:textFill>
              </w:rPr>
              <w:t>内</w:t>
            </w:r>
            <w:r>
              <w:rPr>
                <w:rFonts w:hint="eastAsia" w:ascii="宋体" w:hAnsi="宋体"/>
                <w:color w:val="000000" w:themeColor="text1"/>
                <w:szCs w:val="21"/>
                <w:highlight w:val="none"/>
                <w14:textFill>
                  <w14:solidFill>
                    <w14:schemeClr w14:val="tx1"/>
                  </w14:solidFill>
                </w14:textFill>
              </w:rPr>
              <w:t>（2026年1月至2026年6月）</w:t>
            </w:r>
            <w:r>
              <w:rPr>
                <w:rFonts w:ascii="宋体" w:hAnsi="宋体"/>
                <w:color w:val="000000" w:themeColor="text1"/>
                <w:szCs w:val="2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r>
              <w:rPr>
                <w:rFonts w:hint="eastAsia" w:ascii="宋体" w:hAnsi="宋体" w:cs="宋体"/>
                <w:szCs w:val="21"/>
                <w:highlight w:val="none"/>
              </w:rPr>
              <w:t>。</w:t>
            </w:r>
            <w:r>
              <w:rPr>
                <w:rFonts w:hint="eastAsia" w:ascii="宋体" w:hAnsi="宋体" w:cs="宋体"/>
                <w:b/>
                <w:bCs/>
                <w:szCs w:val="21"/>
                <w:highlight w:val="none"/>
              </w:rPr>
              <w:t>证明材料提供复印件加盖公章</w:t>
            </w:r>
          </w:p>
        </w:tc>
      </w:tr>
      <w:tr w14:paraId="0D2DEECE">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E4BD3C8">
            <w:pPr>
              <w:widowControl/>
              <w:jc w:val="left"/>
              <w:rPr>
                <w:rFonts w:hint="eastAsia" w:ascii="宋体" w:hAnsi="宋体" w:cs="宋体"/>
                <w:szCs w:val="21"/>
                <w:highlight w:val="none"/>
              </w:rPr>
            </w:pPr>
          </w:p>
        </w:tc>
        <w:tc>
          <w:tcPr>
            <w:tcW w:w="2436" w:type="dxa"/>
            <w:tcBorders>
              <w:top w:val="nil"/>
              <w:left w:val="single" w:color="auto" w:sz="8" w:space="0"/>
              <w:bottom w:val="single" w:color="000000" w:sz="8" w:space="0"/>
              <w:right w:val="single" w:color="auto" w:sz="8" w:space="0"/>
            </w:tcBorders>
            <w:vAlign w:val="center"/>
          </w:tcPr>
          <w:p w14:paraId="5E086FC1">
            <w:pPr>
              <w:widowControl/>
              <w:jc w:val="left"/>
              <w:rPr>
                <w:rFonts w:hint="eastAsia" w:ascii="宋体" w:hAnsi="宋体" w:cs="宋体"/>
                <w:szCs w:val="21"/>
                <w:highlight w:val="none"/>
              </w:rPr>
            </w:pPr>
            <w:r>
              <w:rPr>
                <w:rFonts w:hint="eastAsia" w:ascii="宋体" w:hAnsi="宋体" w:cs="宋体"/>
                <w:szCs w:val="21"/>
                <w:highlight w:val="none"/>
              </w:rPr>
              <w:t>重大违法记录书面声明</w:t>
            </w:r>
          </w:p>
        </w:tc>
        <w:tc>
          <w:tcPr>
            <w:tcW w:w="6015" w:type="dxa"/>
            <w:tcBorders>
              <w:top w:val="nil"/>
              <w:left w:val="nil"/>
              <w:bottom w:val="single" w:color="auto" w:sz="8" w:space="0"/>
              <w:right w:val="single" w:color="auto" w:sz="8" w:space="0"/>
            </w:tcBorders>
            <w:vAlign w:val="center"/>
          </w:tcPr>
          <w:p w14:paraId="04B41FA0">
            <w:pPr>
              <w:widowControl/>
              <w:rPr>
                <w:rFonts w:hint="eastAsia" w:ascii="宋体" w:hAnsi="宋体" w:cs="宋体"/>
                <w:szCs w:val="21"/>
                <w:highlight w:val="none"/>
              </w:rPr>
            </w:pPr>
            <w:r>
              <w:rPr>
                <w:rFonts w:hint="eastAsia" w:ascii="宋体" w:hAnsi="宋体" w:cs="宋体"/>
                <w:szCs w:val="21"/>
                <w:highlight w:val="none"/>
              </w:rPr>
              <w:t>参加本次采购活动前三年内，在经营活动中没有重大违法记录（提供参加本次采购活动前3年内在经营活动中没有重大违法记录的书面声明）；</w:t>
            </w:r>
            <w:r>
              <w:rPr>
                <w:rFonts w:hint="eastAsia" w:ascii="宋体" w:hAnsi="宋体" w:cs="宋体"/>
                <w:b/>
                <w:bCs/>
                <w:szCs w:val="21"/>
                <w:highlight w:val="none"/>
              </w:rPr>
              <w:t>提供原件加盖公章</w:t>
            </w:r>
          </w:p>
        </w:tc>
      </w:tr>
      <w:tr w14:paraId="0FCF8192">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362F18B9">
            <w:pPr>
              <w:widowControl/>
              <w:jc w:val="left"/>
              <w:rPr>
                <w:rFonts w:hint="eastAsia" w:ascii="宋体" w:hAnsi="宋体" w:cs="宋体"/>
                <w:szCs w:val="21"/>
                <w:highlight w:val="none"/>
              </w:rPr>
            </w:pPr>
          </w:p>
        </w:tc>
        <w:tc>
          <w:tcPr>
            <w:tcW w:w="2436" w:type="dxa"/>
            <w:tcBorders>
              <w:top w:val="nil"/>
              <w:left w:val="nil"/>
              <w:bottom w:val="single" w:color="auto" w:sz="4" w:space="0"/>
              <w:right w:val="single" w:color="auto" w:sz="8" w:space="0"/>
            </w:tcBorders>
            <w:vAlign w:val="center"/>
          </w:tcPr>
          <w:p w14:paraId="47D43A69">
            <w:pPr>
              <w:widowControl/>
              <w:jc w:val="center"/>
              <w:rPr>
                <w:rFonts w:hint="eastAsia" w:ascii="宋体" w:hAnsi="宋体" w:cs="宋体"/>
                <w:szCs w:val="21"/>
                <w:highlight w:val="none"/>
              </w:rPr>
            </w:pPr>
            <w:r>
              <w:rPr>
                <w:rFonts w:hint="eastAsia" w:ascii="宋体" w:hAnsi="宋体" w:cs="宋体"/>
                <w:szCs w:val="21"/>
                <w:highlight w:val="none"/>
              </w:rPr>
              <w:t>非联合体要求</w:t>
            </w:r>
          </w:p>
        </w:tc>
        <w:tc>
          <w:tcPr>
            <w:tcW w:w="6015" w:type="dxa"/>
            <w:tcBorders>
              <w:top w:val="nil"/>
              <w:left w:val="nil"/>
              <w:bottom w:val="single" w:color="auto" w:sz="4" w:space="0"/>
              <w:right w:val="single" w:color="auto" w:sz="8" w:space="0"/>
            </w:tcBorders>
            <w:vAlign w:val="center"/>
          </w:tcPr>
          <w:p w14:paraId="33D1B9BE">
            <w:pPr>
              <w:widowControl/>
              <w:rPr>
                <w:rFonts w:hint="eastAsia" w:ascii="宋体" w:hAnsi="宋体" w:cs="宋体"/>
                <w:szCs w:val="21"/>
                <w:highlight w:val="none"/>
              </w:rPr>
            </w:pPr>
            <w:r>
              <w:rPr>
                <w:rFonts w:hint="eastAsia" w:ascii="宋体" w:hAnsi="宋体" w:cs="宋体"/>
                <w:szCs w:val="21"/>
                <w:highlight w:val="none"/>
              </w:rPr>
              <w:t>本项目不接受联合体响应。</w:t>
            </w:r>
          </w:p>
        </w:tc>
      </w:tr>
      <w:tr w14:paraId="7DC57A20">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26AA85D2">
            <w:pPr>
              <w:widowControl/>
              <w:jc w:val="left"/>
              <w:rPr>
                <w:rFonts w:hint="eastAsia" w:ascii="宋体" w:hAnsi="宋体" w:cs="宋体"/>
                <w:szCs w:val="21"/>
                <w:highlight w:val="none"/>
              </w:rPr>
            </w:pPr>
          </w:p>
        </w:tc>
        <w:tc>
          <w:tcPr>
            <w:tcW w:w="2436" w:type="dxa"/>
            <w:tcBorders>
              <w:top w:val="nil"/>
              <w:left w:val="nil"/>
              <w:bottom w:val="single" w:color="auto" w:sz="4" w:space="0"/>
              <w:right w:val="single" w:color="auto" w:sz="8" w:space="0"/>
            </w:tcBorders>
            <w:vAlign w:val="center"/>
          </w:tcPr>
          <w:p w14:paraId="76DCA393">
            <w:pPr>
              <w:widowControl/>
              <w:jc w:val="center"/>
              <w:rPr>
                <w:rFonts w:hint="eastAsia" w:ascii="宋体" w:hAnsi="宋体" w:cs="宋体"/>
                <w:szCs w:val="21"/>
                <w:highlight w:val="none"/>
              </w:rPr>
            </w:pPr>
            <w:r>
              <w:rPr>
                <w:rFonts w:hint="eastAsia" w:ascii="宋体" w:hAnsi="宋体" w:cs="宋体"/>
                <w:szCs w:val="21"/>
                <w:highlight w:val="none"/>
              </w:rPr>
              <w:t>特定资格要求</w:t>
            </w:r>
          </w:p>
        </w:tc>
        <w:tc>
          <w:tcPr>
            <w:tcW w:w="6015" w:type="dxa"/>
            <w:tcBorders>
              <w:top w:val="nil"/>
              <w:left w:val="nil"/>
              <w:bottom w:val="single" w:color="auto" w:sz="4" w:space="0"/>
              <w:right w:val="single" w:color="auto" w:sz="8" w:space="0"/>
            </w:tcBorders>
            <w:vAlign w:val="center"/>
          </w:tcPr>
          <w:p w14:paraId="097C39E3">
            <w:pPr>
              <w:widowControl/>
              <w:rPr>
                <w:rFonts w:hint="eastAsia" w:ascii="宋体" w:hAnsi="宋体" w:cs="宋体"/>
                <w:highlight w:val="none"/>
              </w:rPr>
            </w:pPr>
            <w:r>
              <w:rPr>
                <w:rFonts w:hint="eastAsia" w:ascii="宋体" w:hAnsi="宋体" w:cs="宋体"/>
                <w:highlight w:val="none"/>
              </w:rPr>
              <w:t>本项目接受进口产品，所投设备若是进口产品，须提供制造商授权证明(提供针对本项目的专项授权书或有效的产品代理证书复印件加盖供应商公章)</w:t>
            </w:r>
          </w:p>
        </w:tc>
      </w:tr>
      <w:tr w14:paraId="57181B2D">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1BEB1477">
            <w:pPr>
              <w:widowControl/>
              <w:jc w:val="left"/>
              <w:rPr>
                <w:rFonts w:hint="eastAsia" w:ascii="宋体" w:hAnsi="宋体" w:cs="宋体"/>
                <w:szCs w:val="21"/>
                <w:highlight w:val="none"/>
              </w:rPr>
            </w:pPr>
          </w:p>
        </w:tc>
        <w:tc>
          <w:tcPr>
            <w:tcW w:w="2436" w:type="dxa"/>
            <w:vMerge w:val="restart"/>
            <w:tcBorders>
              <w:top w:val="nil"/>
              <w:left w:val="nil"/>
              <w:bottom w:val="single" w:color="auto" w:sz="4" w:space="0"/>
              <w:right w:val="single" w:color="auto" w:sz="8" w:space="0"/>
            </w:tcBorders>
            <w:vAlign w:val="center"/>
          </w:tcPr>
          <w:p w14:paraId="247CD001">
            <w:pPr>
              <w:widowControl/>
              <w:jc w:val="center"/>
              <w:rPr>
                <w:rFonts w:hint="eastAsia" w:ascii="宋体" w:hAnsi="宋体" w:cs="宋体"/>
                <w:szCs w:val="21"/>
                <w:highlight w:val="none"/>
              </w:rPr>
            </w:pPr>
            <w:r>
              <w:rPr>
                <w:rFonts w:hint="eastAsia" w:ascii="宋体" w:hAnsi="宋体" w:cs="宋体"/>
                <w:szCs w:val="21"/>
                <w:highlight w:val="none"/>
              </w:rPr>
              <w:t>不得参与响应的情形</w:t>
            </w:r>
          </w:p>
        </w:tc>
        <w:tc>
          <w:tcPr>
            <w:tcW w:w="6015" w:type="dxa"/>
            <w:tcBorders>
              <w:top w:val="nil"/>
              <w:left w:val="nil"/>
              <w:bottom w:val="single" w:color="auto" w:sz="4" w:space="0"/>
              <w:right w:val="single" w:color="auto" w:sz="8" w:space="0"/>
            </w:tcBorders>
            <w:vAlign w:val="center"/>
          </w:tcPr>
          <w:p w14:paraId="634487BC">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供应商单位负责人为同一人或者存在直接控股、管理关系的不同供应商，不得参加同一合同项下的采购或采购活动</w:t>
            </w:r>
          </w:p>
        </w:tc>
      </w:tr>
      <w:tr w14:paraId="5FF01CB7">
        <w:tblPrEx>
          <w:tblCellMar>
            <w:top w:w="0" w:type="dxa"/>
            <w:left w:w="108" w:type="dxa"/>
            <w:bottom w:w="0" w:type="dxa"/>
            <w:right w:w="108" w:type="dxa"/>
          </w:tblCellMar>
        </w:tblPrEx>
        <w:trPr>
          <w:trHeight w:val="454" w:hRule="atLeast"/>
        </w:trPr>
        <w:tc>
          <w:tcPr>
            <w:tcW w:w="796" w:type="dxa"/>
            <w:vMerge w:val="continue"/>
            <w:tcBorders>
              <w:left w:val="single" w:color="auto" w:sz="8" w:space="0"/>
              <w:right w:val="single" w:color="auto" w:sz="8" w:space="0"/>
            </w:tcBorders>
            <w:vAlign w:val="center"/>
          </w:tcPr>
          <w:p w14:paraId="52D76C0E">
            <w:pPr>
              <w:widowControl/>
              <w:jc w:val="left"/>
              <w:rPr>
                <w:rFonts w:hint="eastAsia"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2D5945B4">
            <w:pPr>
              <w:widowControl/>
              <w:jc w:val="center"/>
              <w:rPr>
                <w:rFonts w:hint="eastAsia"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54D3E474">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凡为本项目提供整体设计、规范编制或者项目管理、检测等服务的供应商，不得再参加本项目的采购或采购活动</w:t>
            </w:r>
          </w:p>
        </w:tc>
      </w:tr>
      <w:tr w14:paraId="756E5C7E">
        <w:tblPrEx>
          <w:tblCellMar>
            <w:top w:w="0" w:type="dxa"/>
            <w:left w:w="108" w:type="dxa"/>
            <w:bottom w:w="0" w:type="dxa"/>
            <w:right w:w="108" w:type="dxa"/>
          </w:tblCellMar>
        </w:tblPrEx>
        <w:trPr>
          <w:trHeight w:val="454" w:hRule="atLeast"/>
        </w:trPr>
        <w:tc>
          <w:tcPr>
            <w:tcW w:w="796" w:type="dxa"/>
            <w:vMerge w:val="continue"/>
            <w:tcBorders>
              <w:left w:val="single" w:color="auto" w:sz="8" w:space="0"/>
              <w:bottom w:val="single" w:color="auto" w:sz="4" w:space="0"/>
              <w:right w:val="single" w:color="auto" w:sz="8" w:space="0"/>
            </w:tcBorders>
            <w:vAlign w:val="center"/>
          </w:tcPr>
          <w:p w14:paraId="198A8BDF">
            <w:pPr>
              <w:widowControl/>
              <w:jc w:val="left"/>
              <w:rPr>
                <w:rFonts w:hint="eastAsia" w:ascii="宋体" w:hAnsi="宋体" w:cs="宋体"/>
                <w:szCs w:val="21"/>
                <w:highlight w:val="none"/>
              </w:rPr>
            </w:pPr>
          </w:p>
        </w:tc>
        <w:tc>
          <w:tcPr>
            <w:tcW w:w="2436" w:type="dxa"/>
            <w:vMerge w:val="continue"/>
            <w:tcBorders>
              <w:top w:val="nil"/>
              <w:left w:val="nil"/>
              <w:bottom w:val="single" w:color="auto" w:sz="4" w:space="0"/>
              <w:right w:val="single" w:color="auto" w:sz="8" w:space="0"/>
            </w:tcBorders>
            <w:vAlign w:val="center"/>
          </w:tcPr>
          <w:p w14:paraId="7324B95C">
            <w:pPr>
              <w:widowControl/>
              <w:jc w:val="center"/>
              <w:rPr>
                <w:rFonts w:hint="eastAsia" w:ascii="宋体" w:hAnsi="宋体" w:cs="宋体"/>
                <w:szCs w:val="21"/>
                <w:highlight w:val="none"/>
              </w:rPr>
            </w:pPr>
          </w:p>
        </w:tc>
        <w:tc>
          <w:tcPr>
            <w:tcW w:w="6015" w:type="dxa"/>
            <w:tcBorders>
              <w:top w:val="nil"/>
              <w:left w:val="nil"/>
              <w:bottom w:val="single" w:color="auto" w:sz="4" w:space="0"/>
              <w:right w:val="single" w:color="auto" w:sz="8" w:space="0"/>
            </w:tcBorders>
            <w:vAlign w:val="center"/>
          </w:tcPr>
          <w:p w14:paraId="62E7E5F9">
            <w:pPr>
              <w:widowControl/>
              <w:rPr>
                <w:rFonts w:hint="eastAsia" w:ascii="宋体" w:hAnsi="宋体" w:cs="宋体"/>
                <w:szCs w:val="21"/>
                <w:highlight w:val="none"/>
              </w:rPr>
            </w:pPr>
            <w:r>
              <w:rPr>
                <w:rFonts w:ascii="宋体" w:hAnsi="宋体"/>
                <w:color w:val="000000" w:themeColor="text1"/>
                <w:szCs w:val="21"/>
                <w:highlight w:val="none"/>
                <w14:textFill>
                  <w14:solidFill>
                    <w14:schemeClr w14:val="tx1"/>
                  </w14:solidFill>
                </w14:textFill>
              </w:rPr>
              <w:t>供应商被</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信用中国</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网站（www.creditchina.gov.cn）列入失信被执行人、重大税收违法失信主体、</w:t>
            </w:r>
            <w:r>
              <w:rPr>
                <w:rFonts w:hint="eastAsia" w:ascii="宋体" w:hAnsi="宋体"/>
                <w:color w:val="000000" w:themeColor="text1"/>
                <w:szCs w:val="21"/>
                <w:highlight w:val="none"/>
                <w:lang w:eastAsia="zh-CN"/>
                <w14:textFill>
                  <w14:solidFill>
                    <w14:schemeClr w14:val="tx1"/>
                  </w14:solidFill>
                </w14:textFill>
              </w:rPr>
              <w:t>政府采购严重违法失信行为记录名单</w:t>
            </w:r>
            <w:r>
              <w:rPr>
                <w:rFonts w:hint="eastAsia" w:ascii="宋体" w:hAnsi="宋体"/>
                <w:color w:val="000000" w:themeColor="text1"/>
                <w:szCs w:val="21"/>
                <w:highlight w:val="none"/>
                <w14:textFill>
                  <w14:solidFill>
                    <w14:schemeClr w14:val="tx1"/>
                  </w14:solidFill>
                </w14:textFill>
              </w:rPr>
              <w:t>。</w:t>
            </w:r>
          </w:p>
        </w:tc>
      </w:tr>
      <w:tr w14:paraId="5C42B56E">
        <w:tblPrEx>
          <w:tblCellMar>
            <w:top w:w="0" w:type="dxa"/>
            <w:left w:w="108" w:type="dxa"/>
            <w:bottom w:w="0" w:type="dxa"/>
            <w:right w:w="108" w:type="dxa"/>
          </w:tblCellMar>
        </w:tblPrEx>
        <w:trPr>
          <w:trHeight w:val="454" w:hRule="atLeast"/>
        </w:trPr>
        <w:tc>
          <w:tcPr>
            <w:tcW w:w="796" w:type="dxa"/>
            <w:vMerge w:val="restart"/>
            <w:tcBorders>
              <w:top w:val="single" w:color="auto" w:sz="4" w:space="0"/>
              <w:left w:val="single" w:color="auto" w:sz="4" w:space="0"/>
              <w:right w:val="single" w:color="auto" w:sz="4" w:space="0"/>
            </w:tcBorders>
            <w:vAlign w:val="center"/>
          </w:tcPr>
          <w:p w14:paraId="25DF4237">
            <w:pPr>
              <w:widowControl/>
              <w:jc w:val="center"/>
              <w:textAlignment w:val="center"/>
              <w:rPr>
                <w:rFonts w:hint="eastAsia" w:ascii="宋体" w:hAnsi="宋体" w:cs="宋体"/>
                <w:szCs w:val="21"/>
                <w:highlight w:val="none"/>
              </w:rPr>
            </w:pPr>
            <w:r>
              <w:rPr>
                <w:rFonts w:hint="eastAsia" w:ascii="宋体" w:hAnsi="宋体" w:cs="宋体"/>
                <w:color w:val="000000"/>
                <w:szCs w:val="21"/>
                <w:highlight w:val="none"/>
                <w:lang w:bidi="ar"/>
              </w:rPr>
              <w:t>符合性评审</w:t>
            </w:r>
          </w:p>
        </w:tc>
        <w:tc>
          <w:tcPr>
            <w:tcW w:w="2436" w:type="dxa"/>
            <w:tcBorders>
              <w:top w:val="single" w:color="auto" w:sz="4" w:space="0"/>
              <w:left w:val="single" w:color="auto" w:sz="4" w:space="0"/>
              <w:bottom w:val="single" w:color="auto" w:sz="4" w:space="0"/>
              <w:right w:val="single" w:color="auto" w:sz="4" w:space="0"/>
            </w:tcBorders>
            <w:vAlign w:val="bottom"/>
          </w:tcPr>
          <w:p w14:paraId="00FBF5F3">
            <w:pPr>
              <w:widowControl/>
              <w:jc w:val="center"/>
              <w:textAlignment w:val="bottom"/>
              <w:rPr>
                <w:rFonts w:hint="eastAsia" w:ascii="宋体" w:hAnsi="宋体" w:cs="宋体"/>
                <w:szCs w:val="21"/>
                <w:highlight w:val="none"/>
              </w:rPr>
            </w:pPr>
            <w:r>
              <w:rPr>
                <w:rFonts w:hint="eastAsia" w:ascii="宋体" w:hAnsi="宋体" w:cs="宋体"/>
                <w:color w:val="000000"/>
                <w:szCs w:val="21"/>
                <w:highlight w:val="none"/>
                <w:lang w:bidi="ar"/>
              </w:rPr>
              <w:t>供应商名称</w:t>
            </w:r>
          </w:p>
        </w:tc>
        <w:tc>
          <w:tcPr>
            <w:tcW w:w="6015" w:type="dxa"/>
            <w:tcBorders>
              <w:top w:val="single" w:color="auto" w:sz="4" w:space="0"/>
              <w:left w:val="single" w:color="auto" w:sz="4" w:space="0"/>
              <w:bottom w:val="single" w:color="auto" w:sz="4" w:space="0"/>
              <w:right w:val="single" w:color="auto" w:sz="4" w:space="0"/>
            </w:tcBorders>
            <w:vAlign w:val="bottom"/>
          </w:tcPr>
          <w:p w14:paraId="5D172712">
            <w:pPr>
              <w:widowControl/>
              <w:textAlignment w:val="bottom"/>
              <w:rPr>
                <w:rFonts w:hint="eastAsia" w:ascii="宋体" w:hAnsi="宋体" w:cs="宋体"/>
                <w:szCs w:val="21"/>
                <w:highlight w:val="none"/>
              </w:rPr>
            </w:pPr>
            <w:r>
              <w:rPr>
                <w:rFonts w:hint="eastAsia" w:ascii="宋体" w:hAnsi="宋体" w:cs="宋体"/>
                <w:color w:val="000000"/>
                <w:szCs w:val="21"/>
                <w:highlight w:val="none"/>
                <w:lang w:bidi="ar"/>
              </w:rPr>
              <w:t>【与营业执照、资质证书一致】</w:t>
            </w:r>
          </w:p>
        </w:tc>
      </w:tr>
      <w:tr w14:paraId="4B7A1B51">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063724BE">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bottom"/>
          </w:tcPr>
          <w:p w14:paraId="0C893018">
            <w:pPr>
              <w:widowControl/>
              <w:jc w:val="center"/>
              <w:textAlignment w:val="bottom"/>
              <w:rPr>
                <w:rFonts w:hint="eastAsia" w:ascii="宋体" w:hAnsi="宋体" w:cs="宋体"/>
                <w:szCs w:val="21"/>
                <w:highlight w:val="none"/>
              </w:rPr>
            </w:pPr>
            <w:r>
              <w:rPr>
                <w:rFonts w:hint="eastAsia" w:ascii="宋体" w:hAnsi="宋体" w:cs="宋体"/>
                <w:color w:val="000000"/>
                <w:szCs w:val="21"/>
                <w:highlight w:val="none"/>
                <w:lang w:bidi="ar"/>
              </w:rPr>
              <w:t>响应文件签字盖章</w:t>
            </w:r>
          </w:p>
        </w:tc>
        <w:tc>
          <w:tcPr>
            <w:tcW w:w="6015" w:type="dxa"/>
            <w:tcBorders>
              <w:top w:val="single" w:color="auto" w:sz="4" w:space="0"/>
              <w:left w:val="single" w:color="auto" w:sz="4" w:space="0"/>
              <w:bottom w:val="single" w:color="auto" w:sz="4" w:space="0"/>
              <w:right w:val="single" w:color="auto" w:sz="4" w:space="0"/>
            </w:tcBorders>
            <w:vAlign w:val="bottom"/>
          </w:tcPr>
          <w:p w14:paraId="0606BC80">
            <w:pPr>
              <w:widowControl/>
              <w:textAlignment w:val="bottom"/>
              <w:rPr>
                <w:rFonts w:hint="eastAsia" w:ascii="宋体" w:hAnsi="宋体" w:cs="宋体"/>
                <w:szCs w:val="21"/>
                <w:highlight w:val="none"/>
              </w:rPr>
            </w:pPr>
            <w:r>
              <w:rPr>
                <w:rFonts w:hint="eastAsia" w:ascii="宋体" w:hAnsi="宋体" w:cs="宋体"/>
                <w:color w:val="000000"/>
                <w:szCs w:val="21"/>
                <w:highlight w:val="none"/>
                <w:lang w:bidi="ar"/>
              </w:rPr>
              <w:t>【有法定代表人或其委托代理人签字或加盖单位公章】</w:t>
            </w:r>
          </w:p>
        </w:tc>
      </w:tr>
      <w:tr w14:paraId="2161F2EC">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2676E1B2">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bottom"/>
          </w:tcPr>
          <w:p w14:paraId="39BD3963">
            <w:pPr>
              <w:widowControl/>
              <w:jc w:val="center"/>
              <w:textAlignment w:val="bottom"/>
              <w:rPr>
                <w:rFonts w:hint="eastAsia" w:ascii="宋体" w:hAnsi="宋体" w:cs="宋体"/>
                <w:szCs w:val="21"/>
                <w:highlight w:val="none"/>
              </w:rPr>
            </w:pPr>
            <w:r>
              <w:rPr>
                <w:rFonts w:hint="eastAsia" w:ascii="宋体" w:hAnsi="宋体" w:cs="宋体"/>
                <w:color w:val="000000"/>
                <w:szCs w:val="21"/>
                <w:highlight w:val="none"/>
                <w:lang w:bidi="ar"/>
              </w:rPr>
              <w:t>法定代表人授权书</w:t>
            </w:r>
          </w:p>
        </w:tc>
        <w:tc>
          <w:tcPr>
            <w:tcW w:w="6015" w:type="dxa"/>
            <w:tcBorders>
              <w:top w:val="single" w:color="auto" w:sz="4" w:space="0"/>
              <w:left w:val="single" w:color="auto" w:sz="4" w:space="0"/>
              <w:bottom w:val="single" w:color="auto" w:sz="4" w:space="0"/>
              <w:right w:val="single" w:color="auto" w:sz="4" w:space="0"/>
            </w:tcBorders>
            <w:vAlign w:val="bottom"/>
          </w:tcPr>
          <w:p w14:paraId="2B4F6EFF">
            <w:pPr>
              <w:widowControl/>
              <w:textAlignment w:val="bottom"/>
              <w:rPr>
                <w:rFonts w:hint="eastAsia" w:ascii="宋体" w:hAnsi="宋体" w:cs="宋体"/>
                <w:szCs w:val="21"/>
                <w:highlight w:val="none"/>
              </w:rPr>
            </w:pPr>
            <w:r>
              <w:rPr>
                <w:rFonts w:hint="eastAsia" w:ascii="宋体" w:hAnsi="宋体" w:cs="宋体"/>
                <w:color w:val="000000"/>
                <w:szCs w:val="21"/>
                <w:highlight w:val="none"/>
                <w:lang w:bidi="ar"/>
              </w:rPr>
              <w:t>【被授权人身份证复印件与法定代表人授权委托书一致】</w:t>
            </w:r>
          </w:p>
        </w:tc>
      </w:tr>
      <w:tr w14:paraId="0C3B1AFF">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45B109BF">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bottom"/>
          </w:tcPr>
          <w:p w14:paraId="33CFBF33">
            <w:pPr>
              <w:widowControl/>
              <w:jc w:val="center"/>
              <w:textAlignment w:val="bottom"/>
              <w:rPr>
                <w:rFonts w:hint="eastAsia" w:ascii="宋体" w:hAnsi="宋体" w:cs="宋体"/>
                <w:szCs w:val="21"/>
                <w:highlight w:val="none"/>
              </w:rPr>
            </w:pPr>
            <w:r>
              <w:rPr>
                <w:rFonts w:hint="eastAsia" w:ascii="宋体" w:hAnsi="宋体" w:cs="宋体"/>
                <w:color w:val="000000"/>
                <w:szCs w:val="21"/>
                <w:highlight w:val="none"/>
                <w:lang w:bidi="ar"/>
              </w:rPr>
              <w:t>响应文件格式</w:t>
            </w:r>
          </w:p>
        </w:tc>
        <w:tc>
          <w:tcPr>
            <w:tcW w:w="6015" w:type="dxa"/>
            <w:tcBorders>
              <w:top w:val="single" w:color="auto" w:sz="4" w:space="0"/>
              <w:left w:val="single" w:color="auto" w:sz="4" w:space="0"/>
              <w:bottom w:val="single" w:color="auto" w:sz="4" w:space="0"/>
              <w:right w:val="single" w:color="auto" w:sz="4" w:space="0"/>
            </w:tcBorders>
            <w:vAlign w:val="bottom"/>
          </w:tcPr>
          <w:p w14:paraId="43E6E710">
            <w:pPr>
              <w:widowControl/>
              <w:textAlignment w:val="bottom"/>
              <w:rPr>
                <w:rFonts w:hint="eastAsia" w:ascii="宋体" w:hAnsi="宋体" w:cs="宋体"/>
                <w:szCs w:val="21"/>
                <w:highlight w:val="none"/>
              </w:rPr>
            </w:pPr>
            <w:r>
              <w:rPr>
                <w:rFonts w:hint="eastAsia" w:ascii="宋体" w:hAnsi="宋体" w:cs="宋体"/>
                <w:color w:val="000000"/>
                <w:szCs w:val="21"/>
                <w:highlight w:val="none"/>
                <w:lang w:bidi="ar"/>
              </w:rPr>
              <w:t>【按照比选文件规定的格式、内容填写，字迹清晰可辨】</w:t>
            </w:r>
          </w:p>
        </w:tc>
      </w:tr>
      <w:tr w14:paraId="51DB7DEB">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5287555E">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2CE2E1D9">
            <w:pPr>
              <w:widowControl/>
              <w:jc w:val="center"/>
              <w:textAlignment w:val="center"/>
              <w:rPr>
                <w:rFonts w:hint="eastAsia" w:ascii="宋体" w:hAnsi="宋体" w:cs="宋体"/>
                <w:szCs w:val="21"/>
                <w:highlight w:val="none"/>
              </w:rPr>
            </w:pPr>
            <w:r>
              <w:rPr>
                <w:rFonts w:hint="eastAsia" w:ascii="宋体" w:hAnsi="宋体" w:cs="宋体"/>
                <w:color w:val="000000"/>
                <w:szCs w:val="21"/>
                <w:highlight w:val="none"/>
                <w:lang w:bidi="ar"/>
              </w:rPr>
              <w:t>响应有效期</w:t>
            </w:r>
          </w:p>
        </w:tc>
        <w:tc>
          <w:tcPr>
            <w:tcW w:w="6015" w:type="dxa"/>
            <w:tcBorders>
              <w:top w:val="single" w:color="auto" w:sz="4" w:space="0"/>
              <w:left w:val="single" w:color="auto" w:sz="4" w:space="0"/>
              <w:bottom w:val="single" w:color="auto" w:sz="4" w:space="0"/>
              <w:right w:val="single" w:color="auto" w:sz="4" w:space="0"/>
            </w:tcBorders>
            <w:vAlign w:val="center"/>
          </w:tcPr>
          <w:p w14:paraId="16FF0E7D">
            <w:pPr>
              <w:widowControl/>
              <w:textAlignment w:val="center"/>
              <w:rPr>
                <w:rFonts w:hint="eastAsia" w:ascii="宋体" w:hAnsi="宋体" w:cs="宋体"/>
                <w:szCs w:val="21"/>
                <w:highlight w:val="none"/>
              </w:rPr>
            </w:pPr>
            <w:r>
              <w:rPr>
                <w:rFonts w:hint="eastAsia" w:ascii="宋体" w:hAnsi="宋体" w:cs="宋体"/>
                <w:color w:val="000000"/>
                <w:szCs w:val="21"/>
                <w:highlight w:val="none"/>
                <w:lang w:bidi="ar"/>
              </w:rPr>
              <w:t>90日历天。</w:t>
            </w:r>
          </w:p>
        </w:tc>
      </w:tr>
      <w:tr w14:paraId="3474E3B5">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6C7A7629">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31140246">
            <w:pPr>
              <w:widowControl/>
              <w:jc w:val="center"/>
              <w:textAlignment w:val="center"/>
              <w:rPr>
                <w:rFonts w:hint="eastAsia" w:ascii="宋体" w:hAnsi="宋体" w:cs="宋体"/>
                <w:szCs w:val="21"/>
                <w:highlight w:val="none"/>
              </w:rPr>
            </w:pPr>
            <w:r>
              <w:rPr>
                <w:rFonts w:hint="eastAsia" w:ascii="宋体" w:hAnsi="宋体" w:cs="宋体"/>
                <w:color w:val="000000"/>
                <w:szCs w:val="21"/>
                <w:highlight w:val="none"/>
                <w:lang w:bidi="ar"/>
              </w:rPr>
              <w:t>响应报价</w:t>
            </w:r>
          </w:p>
        </w:tc>
        <w:tc>
          <w:tcPr>
            <w:tcW w:w="6015" w:type="dxa"/>
            <w:tcBorders>
              <w:top w:val="single" w:color="auto" w:sz="4" w:space="0"/>
              <w:left w:val="single" w:color="auto" w:sz="4" w:space="0"/>
              <w:bottom w:val="single" w:color="auto" w:sz="4" w:space="0"/>
              <w:right w:val="single" w:color="auto" w:sz="4" w:space="0"/>
            </w:tcBorders>
            <w:vAlign w:val="center"/>
          </w:tcPr>
          <w:p w14:paraId="67A8092D">
            <w:pPr>
              <w:widowControl/>
              <w:textAlignment w:val="center"/>
              <w:rPr>
                <w:rFonts w:hint="eastAsia" w:ascii="宋体" w:hAnsi="宋体" w:cs="宋体"/>
                <w:szCs w:val="21"/>
                <w:highlight w:val="none"/>
              </w:rPr>
            </w:pPr>
            <w:r>
              <w:rPr>
                <w:rFonts w:hint="eastAsia" w:ascii="宋体" w:hAnsi="宋体" w:cs="宋体"/>
                <w:color w:val="000000"/>
                <w:szCs w:val="21"/>
                <w:highlight w:val="none"/>
                <w:lang w:bidi="ar"/>
              </w:rPr>
              <w:t>唯一报价且满足响应一览表要求。</w:t>
            </w:r>
          </w:p>
        </w:tc>
      </w:tr>
      <w:tr w14:paraId="77647AFD">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035060DD">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3DA0A40D">
            <w:pPr>
              <w:widowControl/>
              <w:jc w:val="center"/>
              <w:textAlignment w:val="center"/>
              <w:rPr>
                <w:rFonts w:hint="eastAsia" w:ascii="宋体" w:hAnsi="宋体" w:cs="宋体"/>
                <w:szCs w:val="21"/>
                <w:highlight w:val="none"/>
              </w:rPr>
            </w:pPr>
            <w:r>
              <w:rPr>
                <w:rFonts w:hint="eastAsia" w:ascii="宋体" w:hAnsi="宋体" w:cs="宋体"/>
                <w:color w:val="000000"/>
                <w:szCs w:val="21"/>
                <w:highlight w:val="none"/>
                <w:lang w:bidi="ar"/>
              </w:rPr>
              <w:t>商务偏离</w:t>
            </w:r>
          </w:p>
        </w:tc>
        <w:tc>
          <w:tcPr>
            <w:tcW w:w="6015" w:type="dxa"/>
            <w:tcBorders>
              <w:top w:val="single" w:color="auto" w:sz="4" w:space="0"/>
              <w:left w:val="single" w:color="auto" w:sz="4" w:space="0"/>
              <w:bottom w:val="single" w:color="auto" w:sz="4" w:space="0"/>
              <w:right w:val="single" w:color="auto" w:sz="4" w:space="0"/>
            </w:tcBorders>
            <w:vAlign w:val="center"/>
          </w:tcPr>
          <w:p w14:paraId="56C24F2E">
            <w:pPr>
              <w:widowControl/>
              <w:textAlignment w:val="center"/>
              <w:rPr>
                <w:rFonts w:hint="eastAsia" w:ascii="宋体" w:hAnsi="宋体" w:cs="宋体"/>
                <w:szCs w:val="21"/>
                <w:highlight w:val="none"/>
              </w:rPr>
            </w:pPr>
            <w:r>
              <w:rPr>
                <w:rFonts w:hint="eastAsia" w:ascii="宋体" w:hAnsi="宋体" w:cs="宋体"/>
                <w:color w:val="000000"/>
                <w:szCs w:val="21"/>
                <w:highlight w:val="none"/>
                <w:lang w:bidi="ar"/>
              </w:rPr>
              <w:t>满足商务条款偏离表要求。</w:t>
            </w:r>
          </w:p>
        </w:tc>
      </w:tr>
      <w:tr w14:paraId="764EBE74">
        <w:tblPrEx>
          <w:tblCellMar>
            <w:top w:w="0" w:type="dxa"/>
            <w:left w:w="108" w:type="dxa"/>
            <w:bottom w:w="0" w:type="dxa"/>
            <w:right w:w="108" w:type="dxa"/>
          </w:tblCellMar>
        </w:tblPrEx>
        <w:trPr>
          <w:trHeight w:val="454" w:hRule="atLeast"/>
        </w:trPr>
        <w:tc>
          <w:tcPr>
            <w:tcW w:w="796" w:type="dxa"/>
            <w:vMerge w:val="continue"/>
            <w:tcBorders>
              <w:top w:val="single" w:color="auto" w:sz="4" w:space="0"/>
              <w:left w:val="single" w:color="auto" w:sz="4" w:space="0"/>
              <w:bottom w:val="single" w:color="auto" w:sz="4" w:space="0"/>
              <w:right w:val="single" w:color="auto" w:sz="4" w:space="0"/>
            </w:tcBorders>
            <w:vAlign w:val="center"/>
          </w:tcPr>
          <w:p w14:paraId="64CF2F99">
            <w:pPr>
              <w:jc w:val="center"/>
              <w:rPr>
                <w:rFonts w:hint="eastAsia" w:ascii="宋体" w:hAnsi="宋体" w:cs="宋体"/>
                <w:szCs w:val="21"/>
                <w:highlight w:val="none"/>
              </w:rPr>
            </w:pPr>
          </w:p>
        </w:tc>
        <w:tc>
          <w:tcPr>
            <w:tcW w:w="2436" w:type="dxa"/>
            <w:tcBorders>
              <w:top w:val="single" w:color="auto" w:sz="4" w:space="0"/>
              <w:left w:val="single" w:color="auto" w:sz="4" w:space="0"/>
              <w:bottom w:val="single" w:color="auto" w:sz="4" w:space="0"/>
              <w:right w:val="single" w:color="auto" w:sz="4" w:space="0"/>
            </w:tcBorders>
            <w:vAlign w:val="center"/>
          </w:tcPr>
          <w:p w14:paraId="7B61EBCD">
            <w:pPr>
              <w:widowControl/>
              <w:jc w:val="center"/>
              <w:textAlignment w:val="center"/>
              <w:rPr>
                <w:rFonts w:hint="eastAsia" w:ascii="宋体" w:hAnsi="宋体" w:cs="宋体"/>
                <w:szCs w:val="21"/>
                <w:highlight w:val="none"/>
              </w:rPr>
            </w:pPr>
            <w:r>
              <w:rPr>
                <w:rFonts w:hint="eastAsia" w:ascii="宋体" w:hAnsi="宋体" w:cs="宋体"/>
                <w:color w:val="000000"/>
                <w:szCs w:val="21"/>
                <w:highlight w:val="none"/>
                <w:lang w:bidi="ar"/>
              </w:rPr>
              <w:t>技术偏离</w:t>
            </w:r>
          </w:p>
        </w:tc>
        <w:tc>
          <w:tcPr>
            <w:tcW w:w="6015" w:type="dxa"/>
            <w:tcBorders>
              <w:top w:val="single" w:color="auto" w:sz="4" w:space="0"/>
              <w:left w:val="single" w:color="auto" w:sz="4" w:space="0"/>
              <w:bottom w:val="single" w:color="auto" w:sz="4" w:space="0"/>
              <w:right w:val="single" w:color="auto" w:sz="4" w:space="0"/>
            </w:tcBorders>
            <w:vAlign w:val="center"/>
          </w:tcPr>
          <w:p w14:paraId="76A014E6">
            <w:pPr>
              <w:widowControl/>
              <w:textAlignment w:val="center"/>
              <w:rPr>
                <w:rFonts w:hint="eastAsia" w:ascii="宋体" w:hAnsi="宋体" w:cs="宋体"/>
                <w:szCs w:val="21"/>
                <w:highlight w:val="none"/>
              </w:rPr>
            </w:pPr>
            <w:r>
              <w:rPr>
                <w:rFonts w:hint="eastAsia" w:ascii="宋体" w:hAnsi="宋体" w:cs="宋体"/>
                <w:color w:val="000000"/>
                <w:szCs w:val="21"/>
                <w:highlight w:val="none"/>
                <w:lang w:bidi="ar"/>
              </w:rPr>
              <w:t>满足技术条款偏离表要求。</w:t>
            </w:r>
          </w:p>
        </w:tc>
      </w:tr>
      <w:bookmarkEnd w:id="6"/>
    </w:tbl>
    <w:p w14:paraId="45ED4E91">
      <w:pPr>
        <w:pStyle w:val="60"/>
        <w:rPr>
          <w:highlight w:val="none"/>
        </w:rPr>
      </w:pPr>
    </w:p>
    <w:p w14:paraId="3BEBF634">
      <w:pPr>
        <w:spacing w:before="360" w:beforeLines="150" w:line="360" w:lineRule="auto"/>
        <w:rPr>
          <w:highlight w:val="none"/>
        </w:rPr>
      </w:pPr>
      <w:r>
        <w:rPr>
          <w:rFonts w:ascii="宋体" w:hAnsi="宋体"/>
          <w:b/>
          <w:bCs/>
          <w:highlight w:val="none"/>
        </w:rPr>
        <w:t>2.2详细评审</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130"/>
        <w:gridCol w:w="5951"/>
      </w:tblGrid>
      <w:tr w14:paraId="4E4CC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3130" w:type="dxa"/>
            <w:vAlign w:val="center"/>
          </w:tcPr>
          <w:p w14:paraId="66510773">
            <w:pPr>
              <w:widowControl/>
              <w:wordWrap w:val="0"/>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评分因素</w:t>
            </w:r>
          </w:p>
        </w:tc>
        <w:tc>
          <w:tcPr>
            <w:tcW w:w="5951" w:type="dxa"/>
            <w:vAlign w:val="center"/>
          </w:tcPr>
          <w:p w14:paraId="4D97A975">
            <w:pPr>
              <w:widowControl/>
              <w:wordWrap w:val="0"/>
              <w:adjustRightInd w:val="0"/>
              <w:snapToGrid w:val="0"/>
              <w:spacing w:line="360" w:lineRule="auto"/>
              <w:jc w:val="center"/>
              <w:rPr>
                <w:rFonts w:hint="eastAsia" w:ascii="宋体" w:hAnsi="宋体"/>
                <w:szCs w:val="21"/>
                <w:highlight w:val="none"/>
              </w:rPr>
            </w:pPr>
            <w:r>
              <w:rPr>
                <w:rFonts w:hint="eastAsia" w:ascii="宋体" w:hAnsi="宋体" w:cs="仿宋"/>
                <w:b/>
                <w:bCs/>
                <w:szCs w:val="21"/>
                <w:highlight w:val="none"/>
              </w:rPr>
              <w:t>评审标准分值</w:t>
            </w:r>
          </w:p>
        </w:tc>
      </w:tr>
      <w:tr w14:paraId="1AFD4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73CD1E06">
            <w:pPr>
              <w:adjustRightInd w:val="0"/>
              <w:snapToGrid w:val="0"/>
              <w:spacing w:line="312" w:lineRule="auto"/>
              <w:jc w:val="center"/>
              <w:rPr>
                <w:rFonts w:hint="eastAsia" w:ascii="宋体" w:hAnsi="宋体" w:cs="仿宋"/>
                <w:b/>
                <w:bCs/>
                <w:szCs w:val="21"/>
                <w:highlight w:val="none"/>
              </w:rPr>
            </w:pPr>
            <w:r>
              <w:rPr>
                <w:rFonts w:hint="eastAsia" w:ascii="宋体" w:hAnsi="宋体" w:cs="仿宋"/>
                <w:b/>
                <w:bCs/>
                <w:szCs w:val="21"/>
                <w:highlight w:val="none"/>
              </w:rPr>
              <w:t>响应报价</w:t>
            </w:r>
          </w:p>
          <w:p w14:paraId="1F05C69D">
            <w:pPr>
              <w:widowControl/>
              <w:adjustRightInd w:val="0"/>
              <w:snapToGrid w:val="0"/>
              <w:spacing w:line="312" w:lineRule="auto"/>
              <w:jc w:val="center"/>
              <w:rPr>
                <w:rFonts w:hint="eastAsia" w:ascii="宋体" w:hAnsi="宋体"/>
                <w:szCs w:val="21"/>
                <w:highlight w:val="none"/>
              </w:rPr>
            </w:pPr>
            <w:r>
              <w:rPr>
                <w:rFonts w:hint="eastAsia" w:ascii="宋体" w:hAnsi="宋体" w:cs="仿宋"/>
                <w:b/>
                <w:bCs/>
                <w:szCs w:val="21"/>
                <w:highlight w:val="none"/>
              </w:rPr>
              <w:t>（30分）</w:t>
            </w:r>
          </w:p>
        </w:tc>
        <w:tc>
          <w:tcPr>
            <w:tcW w:w="5951" w:type="dxa"/>
            <w:vAlign w:val="center"/>
          </w:tcPr>
          <w:p w14:paraId="1A2510AB">
            <w:pPr>
              <w:adjustRightInd w:val="0"/>
              <w:snapToGrid w:val="0"/>
              <w:spacing w:line="360" w:lineRule="auto"/>
              <w:jc w:val="left"/>
              <w:rPr>
                <w:rFonts w:hint="eastAsia" w:ascii="宋体" w:hAnsi="宋体"/>
                <w:szCs w:val="21"/>
                <w:highlight w:val="none"/>
              </w:rPr>
            </w:pPr>
            <w:r>
              <w:rPr>
                <w:rFonts w:hint="eastAsia" w:ascii="宋体" w:hAnsi="宋体" w:cs="宋体"/>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09D519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9081" w:type="dxa"/>
            <w:gridSpan w:val="2"/>
            <w:vAlign w:val="center"/>
          </w:tcPr>
          <w:p w14:paraId="00BDC30C">
            <w:pPr>
              <w:widowControl/>
              <w:adjustRightInd w:val="0"/>
              <w:snapToGrid w:val="0"/>
              <w:spacing w:line="312" w:lineRule="auto"/>
              <w:jc w:val="left"/>
              <w:rPr>
                <w:rFonts w:hint="eastAsia" w:ascii="宋体" w:hAnsi="宋体"/>
                <w:b/>
                <w:bCs/>
                <w:szCs w:val="21"/>
                <w:highlight w:val="none"/>
              </w:rPr>
            </w:pPr>
            <w:r>
              <w:rPr>
                <w:rFonts w:hint="eastAsia" w:ascii="宋体" w:hAnsi="宋体"/>
                <w:b/>
                <w:bCs/>
                <w:szCs w:val="21"/>
                <w:highlight w:val="none"/>
              </w:rPr>
              <w:t>启动异常低价审查的情形和具体要求：</w:t>
            </w:r>
          </w:p>
          <w:p w14:paraId="0AF041B5">
            <w:pPr>
              <w:widowControl/>
              <w:adjustRightInd w:val="0"/>
              <w:snapToGrid w:val="0"/>
              <w:spacing w:line="312" w:lineRule="auto"/>
              <w:jc w:val="left"/>
              <w:rPr>
                <w:rFonts w:hint="eastAsia" w:ascii="宋体" w:hAnsi="宋体"/>
                <w:szCs w:val="21"/>
                <w:highlight w:val="none"/>
              </w:rPr>
            </w:pPr>
            <w:r>
              <w:rPr>
                <w:rFonts w:hint="eastAsia" w:ascii="宋体" w:hAnsi="宋体"/>
                <w:szCs w:val="21"/>
                <w:highlight w:val="none"/>
              </w:rPr>
              <w:t>（一）评审过程中出现下列情形之一的，评审委员会应当启动异常低价响应审查程序：</w:t>
            </w:r>
          </w:p>
          <w:p w14:paraId="3E1585E3">
            <w:pPr>
              <w:widowControl/>
              <w:adjustRightInd w:val="0"/>
              <w:snapToGrid w:val="0"/>
              <w:spacing w:line="312" w:lineRule="auto"/>
              <w:jc w:val="left"/>
              <w:rPr>
                <w:rFonts w:hint="eastAsia" w:ascii="宋体" w:hAnsi="宋体"/>
                <w:szCs w:val="21"/>
                <w:highlight w:val="none"/>
              </w:rPr>
            </w:pPr>
            <w:r>
              <w:rPr>
                <w:rFonts w:hint="eastAsia" w:ascii="宋体" w:hAnsi="宋体"/>
                <w:szCs w:val="21"/>
                <w:highlight w:val="none"/>
              </w:rPr>
              <w:t>1.响应报价低于采购项目预算50%的，即响应报价&lt;采购项目预算x50%；</w:t>
            </w:r>
          </w:p>
          <w:p w14:paraId="5ABE1F3B">
            <w:pPr>
              <w:widowControl/>
              <w:adjustRightInd w:val="0"/>
              <w:snapToGrid w:val="0"/>
              <w:spacing w:line="312" w:lineRule="auto"/>
              <w:jc w:val="left"/>
              <w:rPr>
                <w:rFonts w:hint="eastAsia" w:ascii="宋体" w:hAnsi="宋体"/>
                <w:szCs w:val="21"/>
                <w:highlight w:val="none"/>
              </w:rPr>
            </w:pPr>
            <w:r>
              <w:rPr>
                <w:rFonts w:hint="eastAsia" w:ascii="宋体" w:hAnsi="宋体"/>
                <w:szCs w:val="21"/>
                <w:highlight w:val="none"/>
              </w:rPr>
              <w:t>2.响应报价低于采购项目最高限价45%的，即响应报价&lt;采购项目最高限价x45%；</w:t>
            </w:r>
          </w:p>
          <w:p w14:paraId="4AC100C9">
            <w:pPr>
              <w:widowControl/>
              <w:adjustRightInd w:val="0"/>
              <w:snapToGrid w:val="0"/>
              <w:spacing w:line="312" w:lineRule="auto"/>
              <w:jc w:val="left"/>
              <w:rPr>
                <w:rFonts w:hint="eastAsia" w:ascii="宋体" w:hAnsi="宋体"/>
                <w:szCs w:val="21"/>
                <w:highlight w:val="none"/>
              </w:rPr>
            </w:pPr>
            <w:r>
              <w:rPr>
                <w:rFonts w:hint="eastAsia" w:ascii="宋体" w:hAnsi="宋体"/>
                <w:szCs w:val="21"/>
                <w:highlight w:val="none"/>
              </w:rPr>
              <w:t>3.评审委员会认定的供应商报价过低、有可能影响产品质量或者不能诚信履约的其他情形。</w:t>
            </w:r>
          </w:p>
          <w:p w14:paraId="6947FD80">
            <w:pPr>
              <w:wordWrap w:val="0"/>
              <w:adjustRightInd w:val="0"/>
              <w:snapToGrid w:val="0"/>
              <w:spacing w:line="360" w:lineRule="auto"/>
              <w:jc w:val="left"/>
              <w:rPr>
                <w:rFonts w:hint="eastAsia" w:ascii="宋体" w:hAnsi="宋体"/>
                <w:i/>
                <w:iCs/>
                <w:szCs w:val="21"/>
                <w:highlight w:val="none"/>
              </w:rPr>
            </w:pPr>
            <w:r>
              <w:rPr>
                <w:rFonts w:hint="eastAsia" w:ascii="宋体" w:hAnsi="宋体"/>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3D6D9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4F4302D4">
            <w:pPr>
              <w:pBdr>
                <w:top w:val="none" w:color="000000" w:sz="0" w:space="0"/>
                <w:left w:val="none" w:color="000000" w:sz="0" w:space="0"/>
                <w:bottom w:val="none" w:color="000000" w:sz="0" w:space="0"/>
                <w:right w:val="none" w:color="000000" w:sz="0" w:space="0"/>
              </w:pBdr>
              <w:wordWrap w:val="0"/>
              <w:jc w:val="center"/>
              <w:rPr>
                <w:rFonts w:hint="eastAsia" w:ascii="宋体" w:hAnsi="宋体" w:cs="宋体"/>
                <w:b/>
                <w:szCs w:val="21"/>
                <w:highlight w:val="none"/>
              </w:rPr>
            </w:pPr>
            <w:r>
              <w:rPr>
                <w:rFonts w:hint="eastAsia" w:ascii="宋体" w:hAnsi="宋体" w:cs="宋体"/>
                <w:b/>
                <w:szCs w:val="21"/>
                <w:highlight w:val="none"/>
              </w:rPr>
              <w:t>技术响应</w:t>
            </w:r>
          </w:p>
          <w:p w14:paraId="58D06478">
            <w:pPr>
              <w:pBdr>
                <w:top w:val="none" w:color="000000" w:sz="0" w:space="0"/>
                <w:left w:val="none" w:color="000000" w:sz="0" w:space="0"/>
                <w:bottom w:val="none" w:color="000000" w:sz="0" w:space="0"/>
                <w:right w:val="none" w:color="000000" w:sz="0" w:space="0"/>
              </w:pBdr>
              <w:wordWrap w:val="0"/>
              <w:jc w:val="center"/>
              <w:rPr>
                <w:rFonts w:hint="eastAsia" w:ascii="宋体" w:hAnsi="宋体"/>
                <w:b/>
                <w:szCs w:val="21"/>
                <w:highlight w:val="none"/>
              </w:rPr>
            </w:pPr>
            <w:r>
              <w:rPr>
                <w:rFonts w:hint="eastAsia" w:ascii="宋体" w:hAnsi="宋体" w:cs="宋体"/>
                <w:b/>
                <w:szCs w:val="21"/>
                <w:highlight w:val="none"/>
              </w:rPr>
              <w:t>（</w:t>
            </w:r>
            <w:r>
              <w:rPr>
                <w:rFonts w:hint="eastAsia" w:ascii="宋体" w:hAnsi="宋体" w:cs="宋体"/>
                <w:b/>
                <w:szCs w:val="21"/>
                <w:highlight w:val="none"/>
                <w:lang w:val="en-US" w:eastAsia="zh-CN"/>
              </w:rPr>
              <w:t>42</w:t>
            </w:r>
            <w:r>
              <w:rPr>
                <w:rFonts w:hint="eastAsia" w:ascii="宋体" w:hAnsi="宋体" w:cs="宋体"/>
                <w:b/>
                <w:szCs w:val="21"/>
                <w:highlight w:val="none"/>
              </w:rPr>
              <w:t>分）</w:t>
            </w:r>
          </w:p>
        </w:tc>
        <w:tc>
          <w:tcPr>
            <w:tcW w:w="5951" w:type="dxa"/>
            <w:vAlign w:val="center"/>
          </w:tcPr>
          <w:p w14:paraId="4DAB272F">
            <w:pPr>
              <w:wordWrap w:val="0"/>
              <w:rPr>
                <w:rFonts w:hint="eastAsia" w:ascii="宋体" w:hAnsi="宋体" w:cs="宋体"/>
                <w:szCs w:val="21"/>
                <w:highlight w:val="none"/>
              </w:rPr>
            </w:pPr>
            <w:r>
              <w:rPr>
                <w:rFonts w:hint="eastAsia" w:ascii="宋体" w:hAnsi="宋体" w:cs="宋体"/>
                <w:szCs w:val="21"/>
                <w:highlight w:val="none"/>
              </w:rPr>
              <w:t>根据对采购文件第四章“三、技术要求”响应情况进行评分，全部满足得</w:t>
            </w:r>
            <w:r>
              <w:rPr>
                <w:rFonts w:hint="eastAsia" w:ascii="宋体" w:hAnsi="宋体" w:cs="宋体"/>
                <w:szCs w:val="21"/>
                <w:highlight w:val="none"/>
                <w:lang w:val="en-US" w:eastAsia="zh-CN"/>
              </w:rPr>
              <w:t>4</w:t>
            </w:r>
            <w:r>
              <w:rPr>
                <w:rFonts w:hint="eastAsia" w:ascii="宋体" w:hAnsi="宋体" w:cs="宋体"/>
                <w:szCs w:val="21"/>
                <w:highlight w:val="none"/>
              </w:rPr>
              <w:t>2分，采购文件中标注“★”为实质性指标，不满足为无效响应。</w:t>
            </w:r>
          </w:p>
          <w:p w14:paraId="3A0B1CE0">
            <w:pPr>
              <w:wordWrap w:val="0"/>
              <w:rPr>
                <w:rFonts w:hint="eastAsia" w:ascii="宋体" w:hAnsi="宋体" w:cs="宋体"/>
                <w:szCs w:val="21"/>
                <w:highlight w:val="none"/>
              </w:rPr>
            </w:pPr>
            <w:r>
              <w:rPr>
                <w:rFonts w:hint="eastAsia" w:ascii="宋体" w:hAnsi="宋体" w:cs="宋体"/>
                <w:szCs w:val="21"/>
                <w:highlight w:val="none"/>
              </w:rPr>
              <w:t>1、标“▲”号技术指标（1</w:t>
            </w:r>
            <w:r>
              <w:rPr>
                <w:rFonts w:hint="eastAsia" w:ascii="宋体" w:hAnsi="宋体" w:cs="宋体"/>
                <w:szCs w:val="21"/>
                <w:highlight w:val="none"/>
                <w:lang w:val="en-US" w:eastAsia="zh-CN"/>
              </w:rPr>
              <w:t>2</w:t>
            </w:r>
            <w:r>
              <w:rPr>
                <w:rFonts w:hint="eastAsia" w:ascii="宋体" w:hAnsi="宋体" w:cs="宋体"/>
                <w:szCs w:val="21"/>
                <w:highlight w:val="none"/>
              </w:rPr>
              <w:t>项）为重要技术条款：完全满足，得2</w:t>
            </w:r>
            <w:r>
              <w:rPr>
                <w:rFonts w:hint="eastAsia" w:ascii="宋体" w:hAnsi="宋体" w:cs="宋体"/>
                <w:szCs w:val="21"/>
                <w:highlight w:val="none"/>
                <w:lang w:val="en-US" w:eastAsia="zh-CN"/>
              </w:rPr>
              <w:t>4</w:t>
            </w:r>
            <w:r>
              <w:rPr>
                <w:rFonts w:hint="eastAsia" w:ascii="宋体" w:hAnsi="宋体" w:cs="宋体"/>
                <w:szCs w:val="21"/>
                <w:highlight w:val="none"/>
              </w:rPr>
              <w:t>分，每有一项负偏离扣2分。</w:t>
            </w:r>
          </w:p>
          <w:p w14:paraId="575F9F4E">
            <w:pPr>
              <w:wordWrap w:val="0"/>
              <w:rPr>
                <w:rFonts w:hint="eastAsia" w:ascii="宋体" w:hAnsi="宋体" w:cs="宋体"/>
                <w:szCs w:val="15"/>
                <w:highlight w:val="none"/>
              </w:rPr>
            </w:pPr>
            <w:r>
              <w:rPr>
                <w:rFonts w:hint="eastAsia" w:ascii="宋体" w:hAnsi="宋体" w:cs="宋体"/>
                <w:szCs w:val="21"/>
                <w:highlight w:val="none"/>
              </w:rPr>
              <w:t>2、其他未标记的指标项（1</w:t>
            </w:r>
            <w:r>
              <w:rPr>
                <w:rFonts w:hint="eastAsia" w:ascii="宋体" w:hAnsi="宋体" w:cs="宋体"/>
                <w:szCs w:val="21"/>
                <w:highlight w:val="none"/>
                <w:lang w:val="en-US" w:eastAsia="zh-CN"/>
              </w:rPr>
              <w:t>8</w:t>
            </w:r>
            <w:r>
              <w:rPr>
                <w:rFonts w:hint="eastAsia" w:ascii="宋体" w:hAnsi="宋体" w:cs="宋体"/>
                <w:szCs w:val="21"/>
                <w:highlight w:val="none"/>
              </w:rPr>
              <w:t>项）为一般技术条款：完全满足，得1</w:t>
            </w:r>
            <w:r>
              <w:rPr>
                <w:rFonts w:hint="eastAsia" w:ascii="宋体" w:hAnsi="宋体" w:cs="宋体"/>
                <w:szCs w:val="21"/>
                <w:highlight w:val="none"/>
                <w:lang w:val="en-US" w:eastAsia="zh-CN"/>
              </w:rPr>
              <w:t>8</w:t>
            </w:r>
            <w:r>
              <w:rPr>
                <w:rFonts w:hint="eastAsia" w:ascii="宋体" w:hAnsi="宋体" w:cs="宋体"/>
                <w:szCs w:val="21"/>
                <w:highlight w:val="none"/>
              </w:rPr>
              <w:t>分，每有一项负偏离扣1分。</w:t>
            </w:r>
          </w:p>
          <w:p w14:paraId="0A6F5CB0">
            <w:pPr>
              <w:pStyle w:val="16"/>
              <w:pBdr>
                <w:top w:val="none" w:color="000000" w:sz="0" w:space="0"/>
                <w:left w:val="none" w:color="000000" w:sz="0" w:space="0"/>
                <w:right w:val="none" w:color="000000" w:sz="0" w:space="0"/>
              </w:pBdr>
              <w:wordWrap w:val="0"/>
              <w:rPr>
                <w:rFonts w:hint="eastAsia" w:ascii="宋体" w:hAnsi="宋体" w:cs="宋体"/>
                <w:b/>
                <w:bCs/>
                <w:szCs w:val="21"/>
                <w:highlight w:val="none"/>
              </w:rPr>
            </w:pPr>
            <w:r>
              <w:rPr>
                <w:rFonts w:hint="eastAsia" w:ascii="宋体" w:hAnsi="宋体" w:cs="宋体"/>
                <w:b/>
                <w:bCs/>
                <w:szCs w:val="21"/>
                <w:highlight w:val="none"/>
              </w:rPr>
              <w:t>注：</w:t>
            </w:r>
          </w:p>
          <w:p w14:paraId="6D438E3F">
            <w:pPr>
              <w:wordWrap w:val="0"/>
              <w:rPr>
                <w:rFonts w:hint="eastAsia" w:ascii="宋体" w:hAnsi="宋体" w:cs="宋体"/>
                <w:b/>
                <w:bCs/>
                <w:szCs w:val="21"/>
                <w:highlight w:val="none"/>
              </w:rPr>
            </w:pPr>
            <w:r>
              <w:rPr>
                <w:rFonts w:hint="eastAsia" w:ascii="宋体" w:hAnsi="宋体" w:cs="宋体"/>
                <w:b/>
                <w:bCs/>
                <w:szCs w:val="21"/>
                <w:highlight w:val="none"/>
              </w:rPr>
              <w:t>（1）凡标有最低一级序号的指标项即为一项技术条款，无论是否隶属于上一级编号；</w:t>
            </w:r>
          </w:p>
          <w:p w14:paraId="53B4FD92">
            <w:pPr>
              <w:wordWrap w:val="0"/>
              <w:rPr>
                <w:rFonts w:hint="eastAsia" w:ascii="宋体" w:hAnsi="宋体" w:cs="宋体"/>
                <w:b/>
                <w:bCs/>
                <w:szCs w:val="21"/>
                <w:highlight w:val="none"/>
              </w:rPr>
            </w:pPr>
            <w:r>
              <w:rPr>
                <w:rFonts w:hint="eastAsia" w:ascii="宋体" w:hAnsi="宋体" w:cs="宋体"/>
                <w:b/>
                <w:bCs/>
                <w:szCs w:val="21"/>
                <w:highlight w:val="none"/>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审时不予认可：加</w:t>
            </w:r>
            <w:r>
              <w:rPr>
                <w:rFonts w:hint="eastAsia"/>
                <w:b/>
                <w:bCs/>
                <w:highlight w:val="none"/>
              </w:rPr>
              <w:t>“</w:t>
            </w:r>
            <w:r>
              <w:rPr>
                <w:rFonts w:hint="eastAsia" w:ascii="宋体" w:hAnsi="宋体" w:cs="宋体"/>
                <w:b/>
                <w:bCs/>
                <w:highlight w:val="none"/>
              </w:rPr>
              <w:t>★</w:t>
            </w:r>
            <w:r>
              <w:rPr>
                <w:rFonts w:hint="eastAsia"/>
                <w:b/>
                <w:bCs/>
                <w:highlight w:val="none"/>
              </w:rPr>
              <w:t>”</w:t>
            </w:r>
            <w:r>
              <w:rPr>
                <w:rFonts w:hint="eastAsia" w:ascii="宋体" w:hAnsi="宋体" w:cs="宋体"/>
                <w:b/>
                <w:bCs/>
                <w:szCs w:val="21"/>
                <w:highlight w:val="none"/>
              </w:rPr>
              <w:t>未提供佐证材料或提供的佐证材料不满足要求，按无效标处理；“▲”未提供佐证材料或提供的佐证材料不满足要求的，按负偏离扣分处理。</w:t>
            </w:r>
          </w:p>
          <w:p w14:paraId="6170BF73">
            <w:pPr>
              <w:wordWrap w:val="0"/>
              <w:rPr>
                <w:rFonts w:hint="eastAsia" w:ascii="宋体" w:hAnsi="宋体"/>
                <w:szCs w:val="21"/>
                <w:highlight w:val="none"/>
              </w:rPr>
            </w:pPr>
            <w:r>
              <w:rPr>
                <w:rFonts w:hint="eastAsia" w:ascii="宋体" w:hAnsi="宋体" w:cs="宋体"/>
                <w:b/>
                <w:bCs/>
                <w:szCs w:val="21"/>
                <w:highlight w:val="none"/>
              </w:rPr>
              <w:t>（3）所有证明材料应在技术规格偏离表中注明证明材料页码。</w:t>
            </w:r>
          </w:p>
        </w:tc>
      </w:tr>
      <w:tr w14:paraId="3DCFE7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7" w:hRule="atLeast"/>
          <w:jc w:val="center"/>
        </w:trPr>
        <w:tc>
          <w:tcPr>
            <w:tcW w:w="3130" w:type="dxa"/>
            <w:vAlign w:val="center"/>
          </w:tcPr>
          <w:p w14:paraId="2F598D4D">
            <w:pPr>
              <w:pStyle w:val="284"/>
              <w:widowControl w:val="0"/>
              <w:adjustRightInd w:val="0"/>
              <w:snapToGrid w:val="0"/>
              <w:jc w:val="center"/>
              <w:textAlignment w:val="baseline"/>
              <w:rPr>
                <w:rFonts w:cs="宋体"/>
                <w:b/>
                <w:bCs/>
                <w:szCs w:val="24"/>
                <w:highlight w:val="none"/>
              </w:rPr>
            </w:pPr>
            <w:r>
              <w:rPr>
                <w:rFonts w:hint="eastAsia" w:cs="宋体"/>
                <w:b/>
                <w:bCs/>
                <w:szCs w:val="24"/>
                <w:highlight w:val="none"/>
              </w:rPr>
              <w:t>项目实施方案</w:t>
            </w:r>
          </w:p>
          <w:p w14:paraId="198E819E">
            <w:pPr>
              <w:pStyle w:val="284"/>
              <w:widowControl w:val="0"/>
              <w:adjustRightInd w:val="0"/>
              <w:snapToGrid w:val="0"/>
              <w:jc w:val="center"/>
              <w:textAlignment w:val="baseline"/>
              <w:rPr>
                <w:rFonts w:hint="eastAsia" w:ascii="宋体" w:hAnsi="宋体" w:cs="宋体"/>
                <w:b/>
                <w:szCs w:val="21"/>
                <w:highlight w:val="none"/>
              </w:rPr>
            </w:pPr>
            <w:r>
              <w:rPr>
                <w:rFonts w:hint="eastAsia" w:cs="宋体"/>
                <w:b/>
                <w:bCs/>
                <w:szCs w:val="24"/>
                <w:highlight w:val="none"/>
                <w:lang w:bidi="ar"/>
              </w:rPr>
              <w:t>(</w:t>
            </w:r>
            <w:r>
              <w:rPr>
                <w:rFonts w:hint="eastAsia" w:cs="宋体"/>
                <w:b/>
                <w:bCs/>
                <w:szCs w:val="24"/>
                <w:highlight w:val="none"/>
                <w:lang w:val="en-US" w:eastAsia="zh-CN" w:bidi="ar"/>
              </w:rPr>
              <w:t>6</w:t>
            </w:r>
            <w:r>
              <w:rPr>
                <w:rFonts w:hint="eastAsia" w:cs="宋体"/>
                <w:b/>
                <w:bCs/>
                <w:szCs w:val="24"/>
                <w:highlight w:val="none"/>
                <w:lang w:bidi="ar"/>
              </w:rPr>
              <w:t>分)</w:t>
            </w:r>
          </w:p>
        </w:tc>
        <w:tc>
          <w:tcPr>
            <w:tcW w:w="5951" w:type="dxa"/>
            <w:vAlign w:val="center"/>
          </w:tcPr>
          <w:p w14:paraId="0B0F382F">
            <w:pPr>
              <w:pStyle w:val="16"/>
              <w:rPr>
                <w:rFonts w:cs="宋体"/>
                <w:highlight w:val="none"/>
              </w:rPr>
            </w:pPr>
            <w:r>
              <w:rPr>
                <w:rFonts w:cs="宋体"/>
                <w:highlight w:val="none"/>
              </w:rPr>
              <w:t>根据供应商提供的</w:t>
            </w:r>
            <w:r>
              <w:rPr>
                <w:rFonts w:hint="eastAsia" w:cs="宋体"/>
                <w:highlight w:val="none"/>
              </w:rPr>
              <w:t>本</w:t>
            </w:r>
            <w:r>
              <w:rPr>
                <w:rFonts w:cs="宋体"/>
                <w:highlight w:val="none"/>
              </w:rPr>
              <w:t>项目实施方案、项目验收交付方案等内容进行综合评分：</w:t>
            </w:r>
          </w:p>
          <w:p w14:paraId="61EB15E0">
            <w:pPr>
              <w:pStyle w:val="16"/>
              <w:rPr>
                <w:rFonts w:cs="宋体"/>
                <w:highlight w:val="none"/>
              </w:rPr>
            </w:pPr>
            <w:r>
              <w:rPr>
                <w:rFonts w:cs="宋体"/>
                <w:highlight w:val="none"/>
              </w:rPr>
              <w:t>方案完整，规范合理且针对性强的得</w:t>
            </w:r>
            <w:r>
              <w:rPr>
                <w:rFonts w:hint="eastAsia" w:cs="宋体"/>
                <w:highlight w:val="none"/>
                <w:lang w:val="en-US" w:eastAsia="zh-CN"/>
              </w:rPr>
              <w:t>6</w:t>
            </w:r>
            <w:r>
              <w:rPr>
                <w:rFonts w:cs="宋体"/>
                <w:highlight w:val="none"/>
              </w:rPr>
              <w:t>分；</w:t>
            </w:r>
          </w:p>
          <w:p w14:paraId="12B31210">
            <w:pPr>
              <w:pStyle w:val="16"/>
              <w:rPr>
                <w:rFonts w:cs="宋体"/>
                <w:highlight w:val="none"/>
              </w:rPr>
            </w:pPr>
            <w:r>
              <w:rPr>
                <w:rFonts w:cs="宋体"/>
                <w:highlight w:val="none"/>
              </w:rPr>
              <w:t>方案较完整，规范合理、针对性较强的得</w:t>
            </w:r>
            <w:r>
              <w:rPr>
                <w:rFonts w:hint="eastAsia" w:cs="宋体"/>
                <w:highlight w:val="none"/>
                <w:lang w:val="en-US" w:eastAsia="zh-CN"/>
              </w:rPr>
              <w:t>4</w:t>
            </w:r>
            <w:r>
              <w:rPr>
                <w:rFonts w:cs="宋体"/>
                <w:highlight w:val="none"/>
              </w:rPr>
              <w:t>分；</w:t>
            </w:r>
          </w:p>
          <w:p w14:paraId="7AC8A190">
            <w:pPr>
              <w:pStyle w:val="16"/>
              <w:rPr>
                <w:rFonts w:cs="宋体"/>
                <w:highlight w:val="none"/>
              </w:rPr>
            </w:pPr>
            <w:r>
              <w:rPr>
                <w:rFonts w:cs="宋体"/>
                <w:highlight w:val="none"/>
              </w:rPr>
              <w:t>方案基本完整，合理、针对性一般得</w:t>
            </w:r>
            <w:r>
              <w:rPr>
                <w:rFonts w:hint="eastAsia" w:cs="宋体"/>
                <w:highlight w:val="none"/>
                <w:lang w:val="en-US" w:eastAsia="zh-CN"/>
              </w:rPr>
              <w:t>2</w:t>
            </w:r>
            <w:r>
              <w:rPr>
                <w:rFonts w:cs="宋体"/>
                <w:highlight w:val="none"/>
              </w:rPr>
              <w:t>分；</w:t>
            </w:r>
          </w:p>
          <w:p w14:paraId="7DEB0287">
            <w:pPr>
              <w:pStyle w:val="16"/>
              <w:rPr>
                <w:rFonts w:cs="宋体"/>
                <w:highlight w:val="none"/>
              </w:rPr>
            </w:pPr>
            <w:r>
              <w:rPr>
                <w:rFonts w:cs="宋体"/>
                <w:highlight w:val="none"/>
              </w:rPr>
              <w:t>方案完整性、合理性、针对性满足基本需求得</w:t>
            </w:r>
            <w:r>
              <w:rPr>
                <w:rFonts w:hint="eastAsia" w:cs="宋体"/>
                <w:highlight w:val="none"/>
              </w:rPr>
              <w:t>1</w:t>
            </w:r>
            <w:r>
              <w:rPr>
                <w:rFonts w:cs="宋体"/>
                <w:highlight w:val="none"/>
              </w:rPr>
              <w:t>分；</w:t>
            </w:r>
          </w:p>
          <w:p w14:paraId="3BCCE091">
            <w:pPr>
              <w:pStyle w:val="16"/>
              <w:rPr>
                <w:rFonts w:cs="宋体"/>
                <w:highlight w:val="none"/>
              </w:rPr>
            </w:pPr>
            <w:r>
              <w:rPr>
                <w:rFonts w:hint="eastAsia" w:cs="宋体"/>
                <w:highlight w:val="none"/>
              </w:rPr>
              <w:t>不能满足本项目要求或未提供的不得分。</w:t>
            </w:r>
          </w:p>
        </w:tc>
      </w:tr>
      <w:tr w14:paraId="727B4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6BEA5462">
            <w:pPr>
              <w:pStyle w:val="284"/>
              <w:widowControl w:val="0"/>
              <w:adjustRightInd w:val="0"/>
              <w:snapToGrid w:val="0"/>
              <w:jc w:val="center"/>
              <w:textAlignment w:val="baseline"/>
              <w:rPr>
                <w:rFonts w:cs="宋体"/>
                <w:b/>
                <w:bCs/>
                <w:szCs w:val="24"/>
                <w:highlight w:val="none"/>
              </w:rPr>
            </w:pPr>
            <w:r>
              <w:rPr>
                <w:rFonts w:hint="eastAsia" w:cs="宋体"/>
                <w:b/>
                <w:bCs/>
                <w:szCs w:val="24"/>
                <w:highlight w:val="none"/>
              </w:rPr>
              <w:t>售后服务方案</w:t>
            </w:r>
          </w:p>
          <w:p w14:paraId="17B42FC3">
            <w:pPr>
              <w:pStyle w:val="284"/>
              <w:widowControl w:val="0"/>
              <w:adjustRightInd w:val="0"/>
              <w:snapToGrid w:val="0"/>
              <w:jc w:val="center"/>
              <w:textAlignment w:val="baseline"/>
              <w:rPr>
                <w:rFonts w:hint="eastAsia" w:ascii="宋体" w:hAnsi="宋体" w:cs="宋体"/>
                <w:b/>
                <w:szCs w:val="21"/>
                <w:highlight w:val="none"/>
              </w:rPr>
            </w:pPr>
            <w:r>
              <w:rPr>
                <w:rFonts w:hint="eastAsia" w:cs="宋体"/>
                <w:b/>
                <w:bCs/>
                <w:szCs w:val="24"/>
                <w:highlight w:val="none"/>
                <w:lang w:bidi="ar"/>
              </w:rPr>
              <w:t>(</w:t>
            </w:r>
            <w:r>
              <w:rPr>
                <w:rFonts w:hint="eastAsia" w:cs="宋体"/>
                <w:b/>
                <w:bCs/>
                <w:szCs w:val="24"/>
                <w:highlight w:val="none"/>
                <w:lang w:val="en-US" w:eastAsia="zh-CN" w:bidi="ar"/>
              </w:rPr>
              <w:t>6</w:t>
            </w:r>
            <w:r>
              <w:rPr>
                <w:rFonts w:hint="eastAsia" w:cs="宋体"/>
                <w:b/>
                <w:bCs/>
                <w:szCs w:val="24"/>
                <w:highlight w:val="none"/>
                <w:lang w:bidi="ar"/>
              </w:rPr>
              <w:t>分)</w:t>
            </w:r>
          </w:p>
        </w:tc>
        <w:tc>
          <w:tcPr>
            <w:tcW w:w="5951" w:type="dxa"/>
            <w:vAlign w:val="center"/>
          </w:tcPr>
          <w:p w14:paraId="7698FE90">
            <w:pPr>
              <w:jc w:val="left"/>
              <w:rPr>
                <w:rFonts w:cs="宋体"/>
                <w:highlight w:val="none"/>
              </w:rPr>
            </w:pPr>
            <w:r>
              <w:rPr>
                <w:rFonts w:cs="宋体"/>
                <w:highlight w:val="none"/>
              </w:rPr>
              <w:t>根据供应商提供</w:t>
            </w:r>
            <w:r>
              <w:rPr>
                <w:rFonts w:hint="eastAsia" w:cs="宋体"/>
                <w:highlight w:val="none"/>
              </w:rPr>
              <w:t>的</w:t>
            </w:r>
            <w:r>
              <w:rPr>
                <w:rFonts w:cs="宋体"/>
                <w:highlight w:val="none"/>
              </w:rPr>
              <w:t>本项目技术支持与售后服务措施方案（包括响应时间、技术服务人员情况、备品备件供应等）进行</w:t>
            </w:r>
            <w:r>
              <w:rPr>
                <w:rFonts w:hint="eastAsia" w:cs="宋体"/>
                <w:highlight w:val="none"/>
              </w:rPr>
              <w:t>综合评分</w:t>
            </w:r>
            <w:r>
              <w:rPr>
                <w:rFonts w:cs="宋体"/>
                <w:highlight w:val="none"/>
              </w:rPr>
              <w:t>：</w:t>
            </w:r>
          </w:p>
          <w:p w14:paraId="666AD964">
            <w:pPr>
              <w:jc w:val="left"/>
              <w:rPr>
                <w:rFonts w:cs="宋体"/>
                <w:highlight w:val="none"/>
              </w:rPr>
            </w:pPr>
            <w:r>
              <w:rPr>
                <w:rFonts w:cs="宋体"/>
                <w:highlight w:val="none"/>
              </w:rPr>
              <w:t>方案合理可行强、可操作性强、措施可靠得</w:t>
            </w:r>
            <w:r>
              <w:rPr>
                <w:rFonts w:hint="eastAsia" w:cs="宋体"/>
                <w:highlight w:val="none"/>
                <w:lang w:val="en-US" w:eastAsia="zh-CN"/>
              </w:rPr>
              <w:t>6</w:t>
            </w:r>
            <w:r>
              <w:rPr>
                <w:rFonts w:cs="宋体"/>
                <w:highlight w:val="none"/>
              </w:rPr>
              <w:t>分；</w:t>
            </w:r>
          </w:p>
          <w:p w14:paraId="2C22AD91">
            <w:pPr>
              <w:jc w:val="left"/>
              <w:rPr>
                <w:rFonts w:cs="宋体"/>
                <w:highlight w:val="none"/>
              </w:rPr>
            </w:pPr>
            <w:r>
              <w:rPr>
                <w:rFonts w:cs="宋体"/>
                <w:highlight w:val="none"/>
              </w:rPr>
              <w:t>方案相对合理、可操作性较强、措施基本合理得</w:t>
            </w:r>
            <w:r>
              <w:rPr>
                <w:rFonts w:hint="eastAsia" w:cs="宋体"/>
                <w:highlight w:val="none"/>
                <w:lang w:val="en-US" w:eastAsia="zh-CN"/>
              </w:rPr>
              <w:t>4</w:t>
            </w:r>
            <w:r>
              <w:rPr>
                <w:rFonts w:cs="宋体"/>
                <w:highlight w:val="none"/>
              </w:rPr>
              <w:t>分；</w:t>
            </w:r>
          </w:p>
          <w:p w14:paraId="49695E27">
            <w:pPr>
              <w:jc w:val="left"/>
              <w:rPr>
                <w:rFonts w:cs="宋体"/>
                <w:highlight w:val="none"/>
              </w:rPr>
            </w:pPr>
            <w:r>
              <w:rPr>
                <w:rFonts w:cs="宋体"/>
                <w:highlight w:val="none"/>
              </w:rPr>
              <w:t>方案基本合理、可操作性一般，措施基本合理得</w:t>
            </w:r>
            <w:r>
              <w:rPr>
                <w:rFonts w:hint="eastAsia" w:cs="宋体"/>
                <w:highlight w:val="none"/>
                <w:lang w:val="en-US" w:eastAsia="zh-CN"/>
              </w:rPr>
              <w:t>2</w:t>
            </w:r>
            <w:r>
              <w:rPr>
                <w:rFonts w:cs="宋体"/>
                <w:highlight w:val="none"/>
              </w:rPr>
              <w:t>分；</w:t>
            </w:r>
          </w:p>
          <w:p w14:paraId="6A4DED22">
            <w:pPr>
              <w:jc w:val="left"/>
              <w:rPr>
                <w:rFonts w:cs="宋体"/>
                <w:highlight w:val="none"/>
              </w:rPr>
            </w:pPr>
            <w:r>
              <w:rPr>
                <w:rFonts w:cs="宋体"/>
                <w:highlight w:val="none"/>
              </w:rPr>
              <w:t>方案合理性较差、可操作性较差、措施合理性较弱得</w:t>
            </w:r>
            <w:r>
              <w:rPr>
                <w:rFonts w:hint="eastAsia" w:cs="宋体"/>
                <w:highlight w:val="none"/>
              </w:rPr>
              <w:t>1</w:t>
            </w:r>
            <w:r>
              <w:rPr>
                <w:rFonts w:cs="宋体"/>
                <w:highlight w:val="none"/>
              </w:rPr>
              <w:t>分；</w:t>
            </w:r>
          </w:p>
          <w:p w14:paraId="4A8F31EE">
            <w:pPr>
              <w:jc w:val="left"/>
              <w:rPr>
                <w:rFonts w:cs="宋体"/>
                <w:highlight w:val="none"/>
              </w:rPr>
            </w:pPr>
            <w:r>
              <w:rPr>
                <w:rFonts w:hint="eastAsia" w:cs="宋体"/>
                <w:highlight w:val="none"/>
              </w:rPr>
              <w:t>不能满足本项目要求或未提供的不得分。</w:t>
            </w:r>
          </w:p>
        </w:tc>
      </w:tr>
      <w:tr w14:paraId="20ED3F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7E2A5CD1">
            <w:pPr>
              <w:widowControl/>
              <w:wordWrap w:val="0"/>
              <w:adjustRightInd w:val="0"/>
              <w:snapToGrid w:val="0"/>
              <w:jc w:val="center"/>
              <w:rPr>
                <w:rFonts w:cs="宋体"/>
                <w:b/>
                <w:bCs/>
                <w:highlight w:val="none"/>
              </w:rPr>
            </w:pPr>
            <w:r>
              <w:rPr>
                <w:rFonts w:hint="eastAsia" w:cs="宋体"/>
                <w:b/>
                <w:bCs/>
                <w:highlight w:val="none"/>
              </w:rPr>
              <w:t>培训方案</w:t>
            </w:r>
          </w:p>
          <w:p w14:paraId="3A37B48A">
            <w:pPr>
              <w:widowControl/>
              <w:wordWrap w:val="0"/>
              <w:adjustRightInd w:val="0"/>
              <w:snapToGrid w:val="0"/>
              <w:jc w:val="center"/>
              <w:rPr>
                <w:rFonts w:hint="eastAsia" w:ascii="宋体" w:hAnsi="宋体" w:cs="宋体"/>
                <w:b/>
                <w:szCs w:val="21"/>
                <w:highlight w:val="none"/>
              </w:rPr>
            </w:pPr>
            <w:r>
              <w:rPr>
                <w:rFonts w:hint="eastAsia" w:cs="宋体"/>
                <w:b/>
                <w:bCs/>
                <w:highlight w:val="none"/>
              </w:rPr>
              <w:t>(</w:t>
            </w:r>
            <w:r>
              <w:rPr>
                <w:rFonts w:hint="eastAsia" w:cs="宋体"/>
                <w:b/>
                <w:bCs/>
                <w:highlight w:val="none"/>
                <w:lang w:val="en-US" w:eastAsia="zh-CN"/>
              </w:rPr>
              <w:t>6</w:t>
            </w:r>
            <w:r>
              <w:rPr>
                <w:rFonts w:hint="eastAsia" w:cs="宋体"/>
                <w:b/>
                <w:bCs/>
                <w:highlight w:val="none"/>
              </w:rPr>
              <w:t>分)</w:t>
            </w:r>
          </w:p>
        </w:tc>
        <w:tc>
          <w:tcPr>
            <w:tcW w:w="5951" w:type="dxa"/>
            <w:vAlign w:val="center"/>
          </w:tcPr>
          <w:p w14:paraId="0615DA4B">
            <w:pPr>
              <w:jc w:val="left"/>
              <w:rPr>
                <w:rFonts w:cs="宋体"/>
                <w:highlight w:val="none"/>
              </w:rPr>
            </w:pPr>
            <w:r>
              <w:rPr>
                <w:rFonts w:cs="宋体"/>
                <w:highlight w:val="none"/>
              </w:rPr>
              <w:t>根据供应商提供</w:t>
            </w:r>
            <w:r>
              <w:rPr>
                <w:rFonts w:hint="eastAsia" w:cs="宋体"/>
                <w:highlight w:val="none"/>
              </w:rPr>
              <w:t>的</w:t>
            </w:r>
            <w:r>
              <w:rPr>
                <w:rFonts w:cs="宋体"/>
                <w:highlight w:val="none"/>
              </w:rPr>
              <w:t>本项目培训方案（包括但不限于培训计划、时间规划</w:t>
            </w:r>
            <w:r>
              <w:rPr>
                <w:rFonts w:hint="eastAsia" w:ascii="宋体" w:hAnsi="宋体" w:cs="宋体"/>
                <w:szCs w:val="21"/>
                <w:highlight w:val="none"/>
              </w:rPr>
              <w:t>、</w:t>
            </w:r>
            <w:r>
              <w:rPr>
                <w:rFonts w:cs="宋体"/>
                <w:highlight w:val="none"/>
              </w:rPr>
              <w:t>培训内容及培训效果评价、培训质量保证等）进行</w:t>
            </w:r>
            <w:r>
              <w:rPr>
                <w:rFonts w:hint="eastAsia" w:cs="宋体"/>
                <w:highlight w:val="none"/>
              </w:rPr>
              <w:t>综合评分</w:t>
            </w:r>
            <w:r>
              <w:rPr>
                <w:rFonts w:cs="宋体"/>
                <w:highlight w:val="none"/>
              </w:rPr>
              <w:t>：</w:t>
            </w:r>
          </w:p>
          <w:p w14:paraId="0F641FA7">
            <w:pPr>
              <w:jc w:val="left"/>
              <w:rPr>
                <w:rFonts w:cs="宋体"/>
                <w:highlight w:val="none"/>
              </w:rPr>
            </w:pPr>
            <w:r>
              <w:rPr>
                <w:rFonts w:cs="宋体"/>
                <w:highlight w:val="none"/>
              </w:rPr>
              <w:t>培训方案完善、合理、可行、针对性强的得</w:t>
            </w:r>
            <w:r>
              <w:rPr>
                <w:rFonts w:hint="eastAsia" w:cs="宋体"/>
                <w:highlight w:val="none"/>
                <w:lang w:val="en-US" w:eastAsia="zh-CN"/>
              </w:rPr>
              <w:t>6</w:t>
            </w:r>
            <w:r>
              <w:rPr>
                <w:rFonts w:cs="宋体"/>
                <w:highlight w:val="none"/>
              </w:rPr>
              <w:t>分；</w:t>
            </w:r>
          </w:p>
          <w:p w14:paraId="0F1F0A2F">
            <w:pPr>
              <w:jc w:val="left"/>
              <w:rPr>
                <w:rFonts w:cs="宋体"/>
                <w:highlight w:val="none"/>
              </w:rPr>
            </w:pPr>
            <w:r>
              <w:rPr>
                <w:rFonts w:cs="宋体"/>
                <w:highlight w:val="none"/>
              </w:rPr>
              <w:t>培训方案较完善、合理可行，针对性较强的得</w:t>
            </w:r>
            <w:r>
              <w:rPr>
                <w:rFonts w:hint="eastAsia" w:cs="宋体"/>
                <w:highlight w:val="none"/>
                <w:lang w:val="en-US" w:eastAsia="zh-CN"/>
              </w:rPr>
              <w:t>4</w:t>
            </w:r>
            <w:r>
              <w:rPr>
                <w:rFonts w:cs="宋体"/>
                <w:highlight w:val="none"/>
              </w:rPr>
              <w:t>分；</w:t>
            </w:r>
          </w:p>
          <w:p w14:paraId="34D66F9D">
            <w:pPr>
              <w:jc w:val="left"/>
              <w:rPr>
                <w:rFonts w:cs="宋体"/>
                <w:highlight w:val="none"/>
              </w:rPr>
            </w:pPr>
            <w:r>
              <w:rPr>
                <w:rFonts w:cs="宋体"/>
                <w:highlight w:val="none"/>
              </w:rPr>
              <w:t>培训方案合理性、可行性、针对性一般的得</w:t>
            </w:r>
            <w:r>
              <w:rPr>
                <w:rFonts w:hint="eastAsia" w:cs="宋体"/>
                <w:highlight w:val="none"/>
                <w:lang w:val="en-US" w:eastAsia="zh-CN"/>
              </w:rPr>
              <w:t>2</w:t>
            </w:r>
            <w:r>
              <w:rPr>
                <w:rFonts w:cs="宋体"/>
                <w:highlight w:val="none"/>
              </w:rPr>
              <w:t>分；</w:t>
            </w:r>
          </w:p>
          <w:p w14:paraId="218498E7">
            <w:pPr>
              <w:jc w:val="left"/>
              <w:rPr>
                <w:rFonts w:cs="宋体"/>
                <w:highlight w:val="none"/>
              </w:rPr>
            </w:pPr>
            <w:r>
              <w:rPr>
                <w:rFonts w:cs="宋体"/>
                <w:highlight w:val="none"/>
              </w:rPr>
              <w:t>培训方案内容总体较差，明显漏洞、针对性弱的得</w:t>
            </w:r>
            <w:r>
              <w:rPr>
                <w:rFonts w:hint="eastAsia" w:cs="宋体"/>
                <w:highlight w:val="none"/>
              </w:rPr>
              <w:t>1</w:t>
            </w:r>
            <w:r>
              <w:rPr>
                <w:rFonts w:cs="宋体"/>
                <w:highlight w:val="none"/>
              </w:rPr>
              <w:t>分；</w:t>
            </w:r>
          </w:p>
          <w:p w14:paraId="76EA989A">
            <w:pPr>
              <w:jc w:val="left"/>
              <w:rPr>
                <w:rFonts w:cs="宋体"/>
                <w:highlight w:val="none"/>
              </w:rPr>
            </w:pPr>
            <w:r>
              <w:rPr>
                <w:rFonts w:hint="eastAsia" w:cs="宋体"/>
                <w:highlight w:val="none"/>
              </w:rPr>
              <w:t>不能满足本项目要求或未提供的不得分。</w:t>
            </w:r>
          </w:p>
        </w:tc>
      </w:tr>
      <w:tr w14:paraId="55ED9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489AF60E">
            <w:pPr>
              <w:pBdr>
                <w:top w:val="none" w:color="000000" w:sz="0" w:space="0"/>
                <w:left w:val="none" w:color="000000" w:sz="0" w:space="0"/>
                <w:bottom w:val="none" w:color="000000" w:sz="0" w:space="0"/>
                <w:right w:val="none" w:color="000000" w:sz="0" w:space="0"/>
              </w:pBdr>
              <w:wordWrap w:val="0"/>
              <w:spacing w:before="210" w:after="210"/>
              <w:jc w:val="center"/>
              <w:rPr>
                <w:rFonts w:hint="eastAsia" w:ascii="宋体" w:hAnsi="宋体" w:cs="宋体"/>
                <w:b/>
                <w:szCs w:val="21"/>
                <w:highlight w:val="none"/>
              </w:rPr>
            </w:pPr>
            <w:r>
              <w:rPr>
                <w:rFonts w:hint="eastAsia" w:ascii="宋体" w:hAnsi="宋体" w:cs="宋体"/>
                <w:b/>
                <w:szCs w:val="21"/>
                <w:highlight w:val="none"/>
              </w:rPr>
              <w:t>同类项目业绩</w:t>
            </w:r>
          </w:p>
          <w:p w14:paraId="7BDE4B9A">
            <w:pPr>
              <w:pBdr>
                <w:top w:val="none" w:color="000000" w:sz="0" w:space="0"/>
                <w:left w:val="none" w:color="000000" w:sz="0" w:space="0"/>
                <w:bottom w:val="none" w:color="000000" w:sz="0" w:space="0"/>
                <w:right w:val="none" w:color="000000" w:sz="0" w:space="0"/>
              </w:pBdr>
              <w:wordWrap w:val="0"/>
              <w:spacing w:before="210" w:after="210"/>
              <w:jc w:val="center"/>
              <w:rPr>
                <w:rFonts w:hint="eastAsia" w:ascii="宋体" w:hAnsi="宋体"/>
                <w:b/>
                <w:highlight w:val="none"/>
              </w:rPr>
            </w:pPr>
            <w:r>
              <w:rPr>
                <w:rFonts w:hint="eastAsia" w:ascii="宋体" w:hAnsi="宋体" w:cs="宋体"/>
                <w:b/>
                <w:szCs w:val="21"/>
                <w:highlight w:val="none"/>
              </w:rPr>
              <w:t>（8分）</w:t>
            </w:r>
          </w:p>
        </w:tc>
        <w:tc>
          <w:tcPr>
            <w:tcW w:w="5951" w:type="dxa"/>
            <w:vAlign w:val="center"/>
          </w:tcPr>
          <w:p w14:paraId="1A074EF4">
            <w:pPr>
              <w:wordWrap w:val="0"/>
              <w:rPr>
                <w:rFonts w:hint="eastAsia" w:ascii="宋体" w:hAnsi="宋体" w:cs="宋体"/>
                <w:szCs w:val="21"/>
                <w:highlight w:val="none"/>
              </w:rPr>
            </w:pPr>
            <w:r>
              <w:rPr>
                <w:rFonts w:hint="eastAsia" w:ascii="宋体" w:hAnsi="宋体" w:cs="宋体"/>
                <w:szCs w:val="21"/>
                <w:highlight w:val="none"/>
              </w:rPr>
              <w:t>根据供应商或响应产品厂家或响应产品国内代理商自2023年7月1日以来（以合同签订时间为准）完成过同类型项目业绩（至少需要包含X射线荧光光谱仪）进行</w:t>
            </w:r>
            <w:r>
              <w:rPr>
                <w:rFonts w:hint="eastAsia" w:cs="宋体"/>
                <w:highlight w:val="none"/>
              </w:rPr>
              <w:t>评</w:t>
            </w:r>
            <w:r>
              <w:rPr>
                <w:rFonts w:hint="eastAsia" w:ascii="宋体" w:hAnsi="宋体" w:cs="宋体"/>
                <w:szCs w:val="21"/>
                <w:highlight w:val="none"/>
              </w:rPr>
              <w:t>分，每提供一个得2分，最高得8分。</w:t>
            </w:r>
          </w:p>
          <w:p w14:paraId="256CB1CC">
            <w:pPr>
              <w:wordWrap w:val="0"/>
              <w:rPr>
                <w:rFonts w:hint="eastAsia" w:ascii="宋体" w:hAnsi="宋体" w:cs="宋体"/>
                <w:szCs w:val="21"/>
                <w:highlight w:val="none"/>
              </w:rPr>
            </w:pPr>
            <w:r>
              <w:rPr>
                <w:rFonts w:hint="eastAsia" w:ascii="宋体" w:hAnsi="宋体" w:cs="宋体"/>
                <w:szCs w:val="21"/>
                <w:highlight w:val="none"/>
              </w:rPr>
              <w:t>（提供合同复印件及对应的验收合格证明材料并加盖供应商公章，合同需包括合同名称、项目内容、盖章、日期等关键内容。）（上述证明材料缺一不可，原件备查）</w:t>
            </w:r>
          </w:p>
        </w:tc>
      </w:tr>
      <w:tr w14:paraId="00B34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0" w:type="dxa"/>
            <w:vAlign w:val="center"/>
          </w:tcPr>
          <w:p w14:paraId="172E69E2">
            <w:pPr>
              <w:wordWrap w:val="0"/>
              <w:jc w:val="center"/>
              <w:rPr>
                <w:rFonts w:hint="eastAsia" w:ascii="宋体" w:hAnsi="宋体" w:cs="宋体"/>
                <w:b/>
                <w:bCs/>
                <w:szCs w:val="21"/>
                <w:highlight w:val="none"/>
              </w:rPr>
            </w:pPr>
            <w:r>
              <w:rPr>
                <w:rFonts w:hint="eastAsia" w:ascii="宋体" w:hAnsi="宋体" w:cs="宋体"/>
                <w:b/>
                <w:bCs/>
                <w:szCs w:val="21"/>
                <w:highlight w:val="none"/>
              </w:rPr>
              <w:t>质保期</w:t>
            </w:r>
          </w:p>
          <w:p w14:paraId="6AA0AE42">
            <w:pPr>
              <w:wordWrap w:val="0"/>
              <w:jc w:val="center"/>
              <w:rPr>
                <w:rFonts w:hint="eastAsia" w:ascii="宋体" w:hAnsi="宋体"/>
                <w:b/>
                <w:szCs w:val="21"/>
                <w:highlight w:val="none"/>
              </w:rPr>
            </w:pPr>
            <w:r>
              <w:rPr>
                <w:rFonts w:hint="eastAsia" w:ascii="宋体" w:hAnsi="宋体" w:cs="宋体"/>
                <w:b/>
                <w:bCs/>
                <w:szCs w:val="21"/>
                <w:highlight w:val="none"/>
              </w:rPr>
              <w:t>（</w:t>
            </w:r>
            <w:r>
              <w:rPr>
                <w:rFonts w:ascii="宋体" w:hAnsi="宋体" w:cs="宋体"/>
                <w:b/>
                <w:bCs/>
                <w:szCs w:val="21"/>
                <w:highlight w:val="none"/>
              </w:rPr>
              <w:t>2</w:t>
            </w:r>
            <w:r>
              <w:rPr>
                <w:rFonts w:hint="eastAsia" w:ascii="宋体" w:hAnsi="宋体" w:cs="宋体"/>
                <w:b/>
                <w:bCs/>
                <w:szCs w:val="21"/>
                <w:highlight w:val="none"/>
              </w:rPr>
              <w:t>分）</w:t>
            </w:r>
          </w:p>
        </w:tc>
        <w:tc>
          <w:tcPr>
            <w:tcW w:w="5951" w:type="dxa"/>
            <w:vAlign w:val="center"/>
          </w:tcPr>
          <w:p w14:paraId="314A0BCB">
            <w:pPr>
              <w:wordWrap w:val="0"/>
              <w:rPr>
                <w:rFonts w:hint="eastAsia" w:ascii="宋体" w:hAnsi="宋体" w:cs="宋体"/>
                <w:szCs w:val="21"/>
                <w:highlight w:val="none"/>
              </w:rPr>
            </w:pPr>
            <w:r>
              <w:rPr>
                <w:rFonts w:hint="eastAsia" w:ascii="宋体" w:hAnsi="宋体" w:cs="宋体"/>
                <w:szCs w:val="21"/>
                <w:highlight w:val="none"/>
              </w:rPr>
              <w:t>在满足采购文件要求的免费质保（整机原厂免费质保一年，X射线光管及X射线探测器免费质保三年）的基础上，整机免费质保每增加1年，或X射线光管及X射线探测器免费质保每增加1年，均可得1分，本项最多得2分。（提供质保承诺并加盖供应商公章，格式自拟）</w:t>
            </w:r>
          </w:p>
        </w:tc>
      </w:tr>
    </w:tbl>
    <w:p w14:paraId="416F59B2">
      <w:pPr>
        <w:rPr>
          <w:rFonts w:hint="eastAsia"/>
          <w:color w:val="000000" w:themeColor="text1"/>
          <w:highlight w:val="none"/>
          <w14:textFill>
            <w14:solidFill>
              <w14:schemeClr w14:val="tx1"/>
            </w14:solidFill>
          </w14:textFill>
        </w:rPr>
      </w:pPr>
    </w:p>
    <w:p w14:paraId="5AF364D8">
      <w:pPr>
        <w:pBdr>
          <w:top w:val="none" w:color="000000" w:sz="0" w:space="0"/>
          <w:left w:val="none" w:color="000000" w:sz="0" w:space="0"/>
          <w:bottom w:val="none" w:color="000000" w:sz="0" w:space="0"/>
          <w:right w:val="none" w:color="000000" w:sz="0" w:space="0"/>
        </w:pBdr>
        <w:rPr>
          <w:rFonts w:hint="eastAsia" w:ascii="宋体" w:hAnsi="宋体" w:cs="宋体"/>
          <w:szCs w:val="21"/>
          <w:highlight w:val="none"/>
        </w:rPr>
      </w:pPr>
      <w:r>
        <w:rPr>
          <w:rFonts w:hint="eastAsia" w:ascii="宋体" w:hAnsi="宋体" w:cs="宋体"/>
          <w:szCs w:val="21"/>
          <w:highlight w:val="none"/>
        </w:rPr>
        <w:t>备注：</w:t>
      </w:r>
    </w:p>
    <w:p w14:paraId="7C488C6D">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cs="宋体"/>
          <w:szCs w:val="21"/>
          <w:highlight w:val="none"/>
        </w:rPr>
        <w:t>如响应产品为进口产品，</w:t>
      </w:r>
      <w:r>
        <w:rPr>
          <w:rFonts w:ascii="宋体" w:hAnsi="宋体" w:cs="宋体"/>
          <w:szCs w:val="21"/>
          <w:highlight w:val="none"/>
        </w:rPr>
        <w:t>进口产品免税报价（CIP南京邮电大学）：包含货物、运输和保险至</w:t>
      </w:r>
      <w:r>
        <w:rPr>
          <w:rFonts w:hint="eastAsia" w:ascii="宋体" w:hAnsi="宋体" w:cs="宋体"/>
          <w:szCs w:val="21"/>
          <w:highlight w:val="none"/>
        </w:rPr>
        <w:t>南京机场</w:t>
      </w:r>
      <w:r>
        <w:rPr>
          <w:rFonts w:ascii="宋体" w:hAnsi="宋体" w:cs="宋体"/>
          <w:szCs w:val="21"/>
          <w:highlight w:val="none"/>
        </w:rPr>
        <w:t>的人民币价格(不包括进口关税、增值税），同时价格需包含进口代理费等。如涉及惩罚性关税，应承诺由</w:t>
      </w:r>
      <w:r>
        <w:rPr>
          <w:rFonts w:hint="eastAsia" w:ascii="宋体" w:hAnsi="宋体" w:cs="宋体"/>
          <w:szCs w:val="21"/>
          <w:highlight w:val="none"/>
        </w:rPr>
        <w:t>供应商</w:t>
      </w:r>
      <w:r>
        <w:rPr>
          <w:rFonts w:ascii="宋体" w:hAnsi="宋体" w:cs="宋体"/>
          <w:szCs w:val="21"/>
          <w:highlight w:val="none"/>
        </w:rPr>
        <w:t>自行承担。</w:t>
      </w:r>
    </w:p>
    <w:p w14:paraId="3CBEEA66">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szCs w:val="21"/>
          <w:highlight w:val="none"/>
        </w:rPr>
        <w:t>本项目为高校科研仪器采购，适用“十五五”期间支持科技创新的进口税收优惠政策（财关税〔2026〕7、8、9号）。由于享惠主体名单的核定与函告流程尚在进行中，可能暂时无法在货物实际到港前完成《征免税确认通知书》的办理。</w:t>
      </w:r>
    </w:p>
    <w:p w14:paraId="55609232">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szCs w:val="21"/>
          <w:highlight w:val="none"/>
        </w:rPr>
        <w:t>若因上述政策衔接原因或供应商货期紧迫需求，需在海关出具正式《征免税确认通知书》前办理货物放行手续的，采购人将依法向主管海关申请办理减免税货物凭税款担保先予放行手续。</w:t>
      </w:r>
    </w:p>
    <w:p w14:paraId="1C0D04D8">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szCs w:val="21"/>
          <w:highlight w:val="none"/>
        </w:rPr>
        <w:t>因办理税款担保所产生的税款类保证金、银行手续费等费用（不计息），由供应商承担，等海关出具正式《征免税确认通知书》后办理退回。</w:t>
      </w:r>
    </w:p>
    <w:p w14:paraId="5738F282">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szCs w:val="21"/>
          <w:highlight w:val="none"/>
        </w:rPr>
        <w:t>如最终经海关审核，该批货物因政策调整等非供应商原因导致无法享受减免税优惠，需要补缴关税、增值税及附加税费的，此类风险及费用由采购人承担。</w:t>
      </w:r>
    </w:p>
    <w:p w14:paraId="0668B585">
      <w:p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szCs w:val="21"/>
          <w:highlight w:val="none"/>
        </w:rPr>
      </w:pPr>
      <w:r>
        <w:rPr>
          <w:rFonts w:hint="eastAsia" w:ascii="宋体" w:hAnsi="宋体"/>
          <w:szCs w:val="21"/>
          <w:highlight w:val="none"/>
        </w:rPr>
        <w:t>如因供应商原因（如：提供的产品型号、技术参数、商品归类信息等与免税清单不符，或未能按海关要求及时提供有效的申报材料）导致无法适用免税政策，由此产生的全部税费、罚款及因清关延误造成的损失，由供应商承担。</w:t>
      </w:r>
    </w:p>
    <w:p w14:paraId="2573C570">
      <w:pPr>
        <w:numPr>
          <w:ilvl w:val="0"/>
          <w:numId w:val="53"/>
        </w:num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cs="宋体"/>
          <w:szCs w:val="21"/>
          <w:highlight w:val="none"/>
        </w:rPr>
      </w:pPr>
      <w:r>
        <w:rPr>
          <w:rFonts w:hint="eastAsia" w:ascii="宋体" w:hAnsi="宋体" w:cs="宋体"/>
          <w:szCs w:val="21"/>
          <w:highlight w:val="none"/>
        </w:rPr>
        <w:t>以上报价方式为人民币包干总价报价，即采购人在按照合同规定的付款方式和金额支付完货款后，不承担任何其他或后续费用。（包括但不限于汇差风险）</w:t>
      </w:r>
    </w:p>
    <w:p w14:paraId="70D3968B">
      <w:pPr>
        <w:numPr>
          <w:ilvl w:val="0"/>
          <w:numId w:val="53"/>
        </w:num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cs="宋体"/>
          <w:szCs w:val="21"/>
          <w:highlight w:val="none"/>
        </w:rPr>
      </w:pPr>
      <w:r>
        <w:rPr>
          <w:rFonts w:hint="eastAsia" w:ascii="宋体" w:hAnsi="宋体" w:cs="宋体"/>
          <w:szCs w:val="21"/>
          <w:highlight w:val="none"/>
        </w:rPr>
        <w:t>另对原产于美国的产品，进口时在正常科创免税之外，中国政府加征的特殊关税由供应商自行承担。</w:t>
      </w:r>
    </w:p>
    <w:p w14:paraId="5609A6D9">
      <w:pPr>
        <w:numPr>
          <w:ilvl w:val="0"/>
          <w:numId w:val="53"/>
        </w:num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cs="宋体"/>
          <w:szCs w:val="21"/>
          <w:highlight w:val="none"/>
        </w:rPr>
      </w:pPr>
      <w:r>
        <w:rPr>
          <w:rFonts w:hint="eastAsia" w:ascii="宋体" w:hAnsi="宋体" w:cs="宋体"/>
          <w:szCs w:val="21"/>
          <w:highlight w:val="none"/>
        </w:rPr>
        <w:t>本项目选定的外贸代理公司为南京邮电大学入围范围内的代理公司，南京邮电大学协助办理入关、免税等相关证明材料手续。</w:t>
      </w:r>
    </w:p>
    <w:p w14:paraId="2C89D891">
      <w:pPr>
        <w:numPr>
          <w:ilvl w:val="0"/>
          <w:numId w:val="53"/>
        </w:num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cs="宋体"/>
          <w:szCs w:val="21"/>
          <w:highlight w:val="none"/>
        </w:rPr>
      </w:pPr>
      <w:r>
        <w:rPr>
          <w:rFonts w:hint="eastAsia" w:ascii="宋体" w:hAnsi="宋体" w:cs="宋体"/>
          <w:szCs w:val="21"/>
          <w:highlight w:val="none"/>
        </w:rPr>
        <w:t>本项目外贸代理包干服务费率为：0.07美元，外贸代理包干服务费= 货物总价（美元）* 0.07，项目成交后，供应商单独和外贸代理公司确定本项目的汇率金额。确定方法：以提交合同当天的第一笔美元现汇卖出价为基准价（参考网址：https://www.boc.cn/sourcedb/whpj/）。若代理服务费金额＜2000元人民币，则按2000元人民币收取；若代理服务费金额＞20000元人民币，则按20000元人民币收取。</w:t>
      </w:r>
    </w:p>
    <w:p w14:paraId="1B7FFBF6">
      <w:pPr>
        <w:numPr>
          <w:ilvl w:val="0"/>
          <w:numId w:val="53"/>
        </w:numPr>
        <w:pBdr>
          <w:top w:val="none" w:color="000000" w:sz="0" w:space="0"/>
          <w:left w:val="none" w:color="000000" w:sz="0" w:space="0"/>
          <w:bottom w:val="none" w:color="000000" w:sz="0" w:space="0"/>
          <w:right w:val="none" w:color="000000" w:sz="0" w:space="0"/>
        </w:pBdr>
        <w:spacing w:line="312"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外贸代理包干服务费包含：银行费用、国内运费、报关费用、港杂费用、港口至采购人目的现场运保费、办理各项证书、代理报酬等一切费用。 </w:t>
      </w:r>
    </w:p>
    <w:p w14:paraId="77D9A5FB">
      <w:pPr>
        <w:rPr>
          <w:b w:val="0"/>
          <w:bCs w:val="0"/>
          <w:color w:val="000000" w:themeColor="text1"/>
          <w:highlight w:val="none"/>
          <w14:textFill>
            <w14:solidFill>
              <w14:schemeClr w14:val="tx1"/>
            </w14:solidFill>
          </w14:textFill>
        </w:rPr>
      </w:pPr>
      <w:r>
        <w:rPr>
          <w:rFonts w:hint="eastAsia" w:ascii="宋体" w:hAnsi="宋体" w:cs="宋体"/>
          <w:szCs w:val="21"/>
          <w:highlight w:val="none"/>
        </w:rPr>
        <w:t>供应商所投产品如为进口产品，外贸代理费应包含在人民币总报价中，请在报价时综合考虑相关费用。</w:t>
      </w:r>
      <w:r>
        <w:rPr>
          <w:rFonts w:hint="eastAsia"/>
          <w:b w:val="0"/>
          <w:bCs w:val="0"/>
          <w:color w:val="000000" w:themeColor="text1"/>
          <w:highlight w:val="none"/>
          <w14:textFill>
            <w14:solidFill>
              <w14:schemeClr w14:val="tx1"/>
            </w14:solidFill>
          </w14:textFill>
        </w:rPr>
        <w:br w:type="page"/>
      </w:r>
    </w:p>
    <w:p w14:paraId="73C18791">
      <w:pPr>
        <w:pStyle w:val="266"/>
        <w:numPr>
          <w:ilvl w:val="0"/>
          <w:numId w:val="54"/>
        </w:num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采购需求</w:t>
      </w:r>
    </w:p>
    <w:p w14:paraId="627AB4F1">
      <w:pPr>
        <w:numPr>
          <w:ilvl w:val="0"/>
          <w:numId w:val="55"/>
        </w:numPr>
        <w:adjustRightInd w:val="0"/>
        <w:snapToGrid w:val="0"/>
        <w:spacing w:line="360" w:lineRule="auto"/>
        <w:outlineLvl w:val="2"/>
        <w:rPr>
          <w:b/>
          <w:sz w:val="28"/>
          <w:szCs w:val="28"/>
          <w:highlight w:val="none"/>
          <w:lang w:val="zh-CN"/>
        </w:rPr>
      </w:pPr>
      <w:bookmarkStart w:id="7" w:name="_Toc203665812"/>
      <w:r>
        <w:rPr>
          <w:rFonts w:hint="eastAsia"/>
          <w:b/>
          <w:sz w:val="28"/>
          <w:szCs w:val="28"/>
          <w:highlight w:val="none"/>
          <w:lang w:val="zh-CN"/>
        </w:rPr>
        <w:t>总则</w:t>
      </w:r>
      <w:bookmarkEnd w:id="7"/>
    </w:p>
    <w:p w14:paraId="187C77B7">
      <w:pPr>
        <w:pStyle w:val="3"/>
        <w:numPr>
          <w:ilvl w:val="2"/>
          <w:numId w:val="56"/>
        </w:numPr>
        <w:spacing w:line="360" w:lineRule="auto"/>
        <w:ind w:left="0" w:firstLine="808" w:firstLineChars="337"/>
        <w:jc w:val="left"/>
        <w:rPr>
          <w:rFonts w:hint="eastAsia" w:ascii="宋体" w:hAnsi="宋体" w:cs="宋体"/>
          <w:sz w:val="24"/>
          <w:szCs w:val="24"/>
          <w:highlight w:val="none"/>
        </w:rPr>
      </w:pPr>
      <w:r>
        <w:rPr>
          <w:rFonts w:hint="eastAsia" w:ascii="宋体" w:hAnsi="宋体" w:cs="宋体"/>
          <w:sz w:val="24"/>
          <w:szCs w:val="24"/>
          <w:highlight w:val="none"/>
        </w:rPr>
        <w:t>本货物需求及规格要求适用于本次采购项下所有货物的采购。</w:t>
      </w:r>
    </w:p>
    <w:p w14:paraId="7A096C1D">
      <w:pPr>
        <w:pStyle w:val="3"/>
        <w:numPr>
          <w:ilvl w:val="2"/>
          <w:numId w:val="56"/>
        </w:numPr>
        <w:spacing w:line="360" w:lineRule="auto"/>
        <w:ind w:left="0" w:firstLine="808" w:firstLineChars="337"/>
        <w:jc w:val="left"/>
        <w:rPr>
          <w:rFonts w:hint="eastAsia" w:ascii="宋体" w:hAnsi="宋体" w:cs="宋体"/>
          <w:sz w:val="24"/>
          <w:szCs w:val="24"/>
          <w:highlight w:val="none"/>
        </w:rPr>
      </w:pPr>
      <w:r>
        <w:rPr>
          <w:rFonts w:hint="eastAsia" w:ascii="宋体" w:hAnsi="宋体" w:cs="宋体"/>
          <w:sz w:val="24"/>
          <w:szCs w:val="24"/>
          <w:highlight w:val="none"/>
        </w:rPr>
        <w:t>标注带“★”号的为关键技术参数，供应商必须逐条响应，如出现任何负偏离或不满足将被否决。</w:t>
      </w:r>
    </w:p>
    <w:p w14:paraId="56857D0F">
      <w:pPr>
        <w:pStyle w:val="3"/>
        <w:numPr>
          <w:ilvl w:val="2"/>
          <w:numId w:val="56"/>
        </w:numPr>
        <w:spacing w:line="360" w:lineRule="auto"/>
        <w:ind w:left="0" w:firstLine="808" w:firstLineChars="337"/>
        <w:jc w:val="left"/>
        <w:rPr>
          <w:rFonts w:hint="eastAsia" w:ascii="宋体" w:hAnsi="宋体" w:cs="宋体"/>
          <w:sz w:val="24"/>
          <w:szCs w:val="24"/>
          <w:highlight w:val="none"/>
        </w:rPr>
      </w:pPr>
      <w:r>
        <w:rPr>
          <w:rFonts w:hint="eastAsia" w:ascii="宋体" w:hAnsi="宋体" w:cs="宋体"/>
          <w:sz w:val="24"/>
          <w:szCs w:val="24"/>
          <w:highlight w:val="none"/>
        </w:rPr>
        <w:t>标注带“▲”号的为重要技术参数，供应商必须逐条响应，如出现任何负偏离或不满足将影响评分。</w:t>
      </w:r>
    </w:p>
    <w:p w14:paraId="5A1B9146">
      <w:pPr>
        <w:pStyle w:val="3"/>
        <w:numPr>
          <w:ilvl w:val="2"/>
          <w:numId w:val="56"/>
        </w:numPr>
        <w:spacing w:line="360" w:lineRule="auto"/>
        <w:ind w:left="0" w:firstLine="808" w:firstLineChars="337"/>
        <w:jc w:val="left"/>
        <w:rPr>
          <w:rFonts w:hint="eastAsia" w:ascii="宋体" w:hAnsi="宋体" w:cs="宋体"/>
          <w:sz w:val="24"/>
          <w:szCs w:val="24"/>
          <w:highlight w:val="none"/>
        </w:rPr>
      </w:pPr>
      <w:r>
        <w:rPr>
          <w:rFonts w:hint="eastAsia" w:ascii="宋体" w:hAnsi="宋体" w:cs="宋体"/>
          <w:sz w:val="24"/>
          <w:szCs w:val="24"/>
          <w:highlight w:val="none"/>
        </w:rPr>
        <w:t>供应商须对比选文件“</w:t>
      </w:r>
      <w:r>
        <w:rPr>
          <w:rFonts w:hint="eastAsia"/>
          <w:sz w:val="24"/>
          <w:szCs w:val="24"/>
          <w:highlight w:val="none"/>
        </w:rPr>
        <w:t>采购需求</w:t>
      </w:r>
      <w:r>
        <w:rPr>
          <w:rFonts w:hint="eastAsia" w:ascii="宋体" w:hAnsi="宋体" w:cs="宋体"/>
          <w:sz w:val="24"/>
          <w:szCs w:val="24"/>
          <w:highlight w:val="none"/>
        </w:rPr>
        <w:t>”的内容（标“▲”项内容除外）作出响应，若出现负偏离或不满足将影响评分。</w:t>
      </w:r>
    </w:p>
    <w:p w14:paraId="6EA108B0">
      <w:pPr>
        <w:pStyle w:val="3"/>
        <w:numPr>
          <w:ilvl w:val="2"/>
          <w:numId w:val="56"/>
        </w:numPr>
        <w:spacing w:line="360" w:lineRule="auto"/>
        <w:ind w:left="0" w:firstLine="808" w:firstLineChars="337"/>
        <w:jc w:val="left"/>
        <w:rPr>
          <w:rFonts w:hint="eastAsia" w:ascii="宋体" w:hAnsi="宋体" w:cs="宋体"/>
          <w:sz w:val="24"/>
          <w:szCs w:val="24"/>
          <w:highlight w:val="none"/>
        </w:rPr>
      </w:pPr>
      <w:r>
        <w:rPr>
          <w:rFonts w:hint="eastAsia" w:ascii="宋体" w:hAnsi="宋体" w:cs="宋体"/>
          <w:sz w:val="24"/>
          <w:szCs w:val="24"/>
          <w:highlight w:val="none"/>
        </w:rPr>
        <w:t>本项目需求未尽事宜，由双方协商确定。</w:t>
      </w:r>
    </w:p>
    <w:p w14:paraId="32D7351C">
      <w:pPr>
        <w:numPr>
          <w:ilvl w:val="0"/>
          <w:numId w:val="55"/>
        </w:numPr>
        <w:adjustRightInd w:val="0"/>
        <w:snapToGrid w:val="0"/>
        <w:spacing w:line="360" w:lineRule="auto"/>
        <w:outlineLvl w:val="2"/>
        <w:rPr>
          <w:rFonts w:hint="eastAsia" w:ascii="宋体" w:hAnsi="宋体" w:cs="宋体"/>
          <w:highlight w:val="none"/>
        </w:rPr>
      </w:pPr>
      <w:r>
        <w:rPr>
          <w:rFonts w:hint="eastAsia"/>
          <w:b/>
          <w:sz w:val="28"/>
          <w:szCs w:val="28"/>
          <w:highlight w:val="none"/>
          <w:lang w:val="zh-CN"/>
        </w:rPr>
        <w:t>项目需求</w:t>
      </w:r>
    </w:p>
    <w:p w14:paraId="051D3FAD">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本项目采购的能量散射型X射线荧光光谱仪(EDXRF)是一种广泛应用于元素分析的仪器，其核心功能在于对样品中从氟(F)到铀(U)范围内的元素进行快速、准确的定性与定量分析。最大的优势在于非破坏性检测，通常无需复杂前处理即可直接分析块体、粉末或液体样品，因此在材料科学、电子电气、化学化工、生物医药、地质矿产、环境科学、考古与文物保护、食品与农业、法医学等多个学科应用广泛。</w:t>
      </w:r>
    </w:p>
    <w:p w14:paraId="4E2094C8">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此外，EDXRF常作为核心分析平台，让学生掌握现代材料表征技术，帮助学生直观理解元素分析原理与仪器操作，提升分析化学实践能力，培养其在交叉学科背景下的科研素养与工程实践能力。总体而言，EDXRF凭借其高效、多用途和无损分析的特点，已成为科研、教学与工业领域不可或缺的分析工具。</w:t>
      </w:r>
    </w:p>
    <w:p w14:paraId="52F89AB1">
      <w:pPr>
        <w:numPr>
          <w:ilvl w:val="0"/>
          <w:numId w:val="55"/>
        </w:numPr>
        <w:adjustRightInd w:val="0"/>
        <w:snapToGrid w:val="0"/>
        <w:spacing w:line="360" w:lineRule="auto"/>
        <w:outlineLvl w:val="2"/>
        <w:rPr>
          <w:b/>
          <w:sz w:val="28"/>
          <w:szCs w:val="28"/>
          <w:highlight w:val="none"/>
          <w:lang w:val="zh-CN"/>
        </w:rPr>
      </w:pPr>
      <w:r>
        <w:rPr>
          <w:rFonts w:hint="eastAsia"/>
          <w:b/>
          <w:sz w:val="28"/>
          <w:szCs w:val="28"/>
          <w:highlight w:val="none"/>
          <w:lang w:val="zh-CN"/>
        </w:rPr>
        <w:t>货物清单</w:t>
      </w:r>
    </w:p>
    <w:tbl>
      <w:tblPr>
        <w:tblStyle w:val="45"/>
        <w:tblW w:w="3651"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018"/>
        <w:gridCol w:w="2540"/>
        <w:gridCol w:w="586"/>
        <w:gridCol w:w="1498"/>
        <w:gridCol w:w="1429"/>
      </w:tblGrid>
      <w:tr w14:paraId="10E5F34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26535091">
            <w:pPr>
              <w:widowControl/>
              <w:jc w:val="center"/>
              <w:rPr>
                <w:rFonts w:hint="eastAsia" w:ascii="宋体" w:hAnsi="宋体"/>
                <w:b/>
                <w:bCs/>
                <w:szCs w:val="21"/>
                <w:highlight w:val="none"/>
              </w:rPr>
            </w:pPr>
            <w:r>
              <w:rPr>
                <w:rFonts w:ascii="宋体" w:hAnsi="宋体"/>
                <w:b/>
                <w:bCs/>
                <w:szCs w:val="21"/>
                <w:highlight w:val="none"/>
              </w:rPr>
              <w:t>序号</w:t>
            </w:r>
          </w:p>
        </w:tc>
        <w:tc>
          <w:tcPr>
            <w:tcW w:w="1795" w:type="pct"/>
            <w:vAlign w:val="center"/>
          </w:tcPr>
          <w:p w14:paraId="6546A377">
            <w:pPr>
              <w:widowControl/>
              <w:jc w:val="center"/>
              <w:rPr>
                <w:rFonts w:hint="eastAsia" w:ascii="宋体" w:hAnsi="宋体"/>
                <w:b/>
                <w:bCs/>
                <w:szCs w:val="21"/>
                <w:highlight w:val="none"/>
              </w:rPr>
            </w:pPr>
            <w:r>
              <w:rPr>
                <w:rFonts w:hint="eastAsia" w:ascii="宋体" w:hAnsi="宋体"/>
                <w:b/>
                <w:bCs/>
                <w:szCs w:val="21"/>
                <w:highlight w:val="none"/>
              </w:rPr>
              <w:t>产品</w:t>
            </w:r>
          </w:p>
        </w:tc>
        <w:tc>
          <w:tcPr>
            <w:tcW w:w="414" w:type="pct"/>
            <w:vAlign w:val="center"/>
          </w:tcPr>
          <w:p w14:paraId="61F9EF6F">
            <w:pPr>
              <w:widowControl/>
              <w:jc w:val="center"/>
              <w:rPr>
                <w:rFonts w:hint="eastAsia" w:ascii="宋体" w:hAnsi="宋体"/>
                <w:b/>
                <w:bCs/>
                <w:szCs w:val="21"/>
                <w:highlight w:val="none"/>
              </w:rPr>
            </w:pPr>
            <w:r>
              <w:rPr>
                <w:rFonts w:ascii="宋体" w:hAnsi="宋体"/>
                <w:b/>
                <w:bCs/>
                <w:szCs w:val="21"/>
                <w:highlight w:val="none"/>
              </w:rPr>
              <w:t>数量</w:t>
            </w:r>
          </w:p>
        </w:tc>
        <w:tc>
          <w:tcPr>
            <w:tcW w:w="1059" w:type="pct"/>
            <w:vAlign w:val="center"/>
          </w:tcPr>
          <w:p w14:paraId="4C63620B">
            <w:pPr>
              <w:widowControl/>
              <w:jc w:val="center"/>
              <w:rPr>
                <w:rFonts w:hint="eastAsia" w:ascii="宋体" w:hAnsi="宋体"/>
                <w:b/>
                <w:bCs/>
                <w:szCs w:val="21"/>
                <w:highlight w:val="none"/>
              </w:rPr>
            </w:pPr>
            <w:r>
              <w:rPr>
                <w:rFonts w:hint="eastAsia" w:ascii="宋体" w:hAnsi="宋体"/>
                <w:b/>
                <w:bCs/>
                <w:szCs w:val="21"/>
                <w:highlight w:val="none"/>
              </w:rPr>
              <w:t>是否核心产品</w:t>
            </w:r>
          </w:p>
        </w:tc>
        <w:tc>
          <w:tcPr>
            <w:tcW w:w="1010" w:type="pct"/>
            <w:vAlign w:val="center"/>
          </w:tcPr>
          <w:p w14:paraId="1BB52F58">
            <w:pPr>
              <w:widowControl/>
              <w:jc w:val="center"/>
              <w:rPr>
                <w:rFonts w:hint="eastAsia" w:ascii="宋体" w:hAnsi="宋体"/>
                <w:b/>
                <w:bCs/>
                <w:szCs w:val="21"/>
                <w:highlight w:val="none"/>
              </w:rPr>
            </w:pPr>
            <w:r>
              <w:rPr>
                <w:rFonts w:hint="eastAsia" w:ascii="宋体" w:hAnsi="宋体"/>
                <w:b/>
                <w:bCs/>
                <w:szCs w:val="21"/>
                <w:highlight w:val="none"/>
              </w:rPr>
              <w:t>总价预算（万元）</w:t>
            </w:r>
          </w:p>
        </w:tc>
      </w:tr>
      <w:tr w14:paraId="5A5732E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20" w:type="pct"/>
            <w:vAlign w:val="center"/>
          </w:tcPr>
          <w:p w14:paraId="60B38A84">
            <w:pPr>
              <w:widowControl/>
              <w:jc w:val="center"/>
              <w:rPr>
                <w:rFonts w:hint="eastAsia" w:ascii="宋体" w:hAnsi="宋体"/>
                <w:szCs w:val="21"/>
                <w:highlight w:val="none"/>
              </w:rPr>
            </w:pPr>
            <w:r>
              <w:rPr>
                <w:rFonts w:ascii="宋体" w:hAnsi="宋体"/>
                <w:szCs w:val="21"/>
                <w:highlight w:val="none"/>
              </w:rPr>
              <w:t>1</w:t>
            </w:r>
          </w:p>
        </w:tc>
        <w:tc>
          <w:tcPr>
            <w:tcW w:w="1795" w:type="pct"/>
            <w:vAlign w:val="center"/>
          </w:tcPr>
          <w:p w14:paraId="62D5D6F9">
            <w:pPr>
              <w:widowControl/>
              <w:jc w:val="center"/>
              <w:rPr>
                <w:rFonts w:hint="eastAsia" w:ascii="宋体" w:hAnsi="宋体"/>
                <w:szCs w:val="21"/>
                <w:highlight w:val="none"/>
              </w:rPr>
            </w:pPr>
            <w:r>
              <w:rPr>
                <w:rFonts w:ascii="宋体" w:hAnsi="宋体"/>
                <w:szCs w:val="21"/>
                <w:highlight w:val="none"/>
              </w:rPr>
              <w:t>能量散射型X射线荧光光谱仪（EDXRF）</w:t>
            </w:r>
          </w:p>
        </w:tc>
        <w:tc>
          <w:tcPr>
            <w:tcW w:w="414" w:type="pct"/>
            <w:vAlign w:val="center"/>
          </w:tcPr>
          <w:p w14:paraId="40A4F350">
            <w:pPr>
              <w:widowControl/>
              <w:jc w:val="center"/>
              <w:rPr>
                <w:rFonts w:hint="eastAsia" w:ascii="宋体" w:hAnsi="宋体" w:cs="宋体"/>
                <w:szCs w:val="21"/>
                <w:highlight w:val="none"/>
              </w:rPr>
            </w:pPr>
            <w:r>
              <w:rPr>
                <w:rFonts w:hint="eastAsia" w:ascii="宋体" w:hAnsi="宋体" w:cs="宋体"/>
                <w:szCs w:val="21"/>
                <w:highlight w:val="none"/>
              </w:rPr>
              <w:t>1套</w:t>
            </w:r>
          </w:p>
        </w:tc>
        <w:tc>
          <w:tcPr>
            <w:tcW w:w="1059" w:type="pct"/>
            <w:vAlign w:val="center"/>
          </w:tcPr>
          <w:p w14:paraId="13170A46">
            <w:pPr>
              <w:widowControl/>
              <w:jc w:val="center"/>
              <w:rPr>
                <w:rFonts w:hint="eastAsia" w:ascii="宋体" w:hAnsi="宋体" w:cs="宋体"/>
                <w:szCs w:val="21"/>
                <w:highlight w:val="none"/>
              </w:rPr>
            </w:pPr>
            <w:r>
              <w:rPr>
                <w:rFonts w:hint="eastAsia" w:ascii="宋体" w:hAnsi="宋体" w:cs="宋体"/>
                <w:szCs w:val="21"/>
                <w:highlight w:val="none"/>
              </w:rPr>
              <w:t>是</w:t>
            </w:r>
          </w:p>
        </w:tc>
        <w:tc>
          <w:tcPr>
            <w:tcW w:w="1010" w:type="pct"/>
            <w:vAlign w:val="center"/>
          </w:tcPr>
          <w:p w14:paraId="75F1DA78">
            <w:pPr>
              <w:widowControl/>
              <w:jc w:val="center"/>
              <w:rPr>
                <w:rFonts w:hint="eastAsia" w:ascii="宋体" w:hAnsi="宋体" w:cs="宋体"/>
                <w:szCs w:val="21"/>
                <w:highlight w:val="none"/>
              </w:rPr>
            </w:pPr>
            <w:r>
              <w:rPr>
                <w:rFonts w:hint="eastAsia" w:ascii="宋体" w:hAnsi="宋体" w:cs="宋体"/>
                <w:szCs w:val="21"/>
                <w:highlight w:val="none"/>
              </w:rPr>
              <w:t>60</w:t>
            </w:r>
          </w:p>
        </w:tc>
      </w:tr>
    </w:tbl>
    <w:p w14:paraId="5E48340F">
      <w:pPr>
        <w:pStyle w:val="29"/>
        <w:spacing w:line="360" w:lineRule="auto"/>
        <w:rPr>
          <w:sz w:val="24"/>
          <w:szCs w:val="24"/>
          <w:highlight w:val="none"/>
          <w:lang w:bidi="ar"/>
        </w:rPr>
      </w:pPr>
    </w:p>
    <w:p w14:paraId="13021E7C">
      <w:pPr>
        <w:numPr>
          <w:ilvl w:val="0"/>
          <w:numId w:val="55"/>
        </w:numPr>
        <w:adjustRightInd w:val="0"/>
        <w:snapToGrid w:val="0"/>
        <w:spacing w:after="240" w:afterLines="100" w:line="360" w:lineRule="auto"/>
        <w:outlineLvl w:val="2"/>
        <w:rPr>
          <w:b/>
          <w:sz w:val="28"/>
          <w:szCs w:val="28"/>
          <w:highlight w:val="none"/>
          <w:lang w:val="zh-CN"/>
        </w:rPr>
      </w:pPr>
      <w:r>
        <w:rPr>
          <w:rFonts w:hint="eastAsia"/>
          <w:b/>
          <w:sz w:val="28"/>
          <w:szCs w:val="28"/>
          <w:highlight w:val="none"/>
          <w:lang w:val="zh-CN"/>
        </w:rPr>
        <w:t>主要技术参数要求</w:t>
      </w:r>
    </w:p>
    <w:p w14:paraId="53583843">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所采购的能量散射型X射线荧光光谱仪（EDXRF）应采用当前最先进技术，使用运行最稳定、性能最可靠的配件，以实现对块体、粉末和液体样品中元素的定性和定量分析，满足测试灵敏度高、重复性好的要求，实现对样品中元素的自动定性定量分析，即可进行标样定量，也能高精度的实现无标样定量，配备相应定性和定量标准数据库并免费升级。</w:t>
      </w:r>
      <w:r>
        <w:rPr>
          <w:rFonts w:ascii="宋体" w:hAnsi="宋体" w:cs="宋体"/>
          <w:sz w:val="24"/>
          <w:szCs w:val="24"/>
          <w:highlight w:val="none"/>
          <w:lang w:bidi="ar"/>
        </w:rPr>
        <w:t>主要技术指标如下：</w:t>
      </w:r>
    </w:p>
    <w:p w14:paraId="7A734B89">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1.1分析范围：元素F-U；浓度范围：1ppm-100%。</w:t>
      </w:r>
    </w:p>
    <w:p w14:paraId="3425C7DF">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1.2 检测器：</w:t>
      </w:r>
    </w:p>
    <w:p w14:paraId="28718EA7">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1）类型：SDD检测器，电制冷方式；</w:t>
      </w:r>
    </w:p>
    <w:p w14:paraId="277A71F0">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2）探测器晶体面积：≥30平方毫米；</w:t>
      </w:r>
    </w:p>
    <w:p w14:paraId="1F71D2CA">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3）晶体厚度：≥1毫米；</w:t>
      </w:r>
    </w:p>
    <w:p w14:paraId="6CB0579C">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★4）分辨率：≤135eV Mn Ka线；</w:t>
      </w:r>
    </w:p>
    <w:p w14:paraId="441DFFC5">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5）全数字脉冲处理器：全自动能量校正；快速数据处理容许死时间＜60%，通道数不少于4096；信号偏差≤0.3 % （连续测试大于8小时）。</w:t>
      </w:r>
    </w:p>
    <w:p w14:paraId="4DEA0B65">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1.3 X射线光管</w:t>
      </w:r>
    </w:p>
    <w:p w14:paraId="26C411F0">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1）功率：0-50W，电压设置：0~50 kV，每1 kV一档设置。电流设置：0.04-2.00 mA，可手动或自动调整，保证最大激发效率；</w:t>
      </w:r>
    </w:p>
    <w:p w14:paraId="4AF0DB69">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★2）Rh靶端窗；</w:t>
      </w:r>
    </w:p>
    <w:p w14:paraId="151E1FF7">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3）分析条件：不少于9种可选择条件，自动控制；至少有9种不同的滤光片，根据用户分析要求自动选择滤光片；仪器可自动选择设置条件，一次采集可满足同时分析不少于50种元素的定量分析（需提供软件操作证明截屏）；</w:t>
      </w:r>
    </w:p>
    <w:p w14:paraId="3FBD11E2">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4）准直器：至少包含4个1mm-8.8mm内的不同直径.；</w:t>
      </w:r>
    </w:p>
    <w:p w14:paraId="5363EC0F">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5）发射控制：仅在分析样品采谱时自动开启，分析结束后自动关闭。</w:t>
      </w:r>
    </w:p>
    <w:p w14:paraId="3B63D6F0">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1.4 样品室</w:t>
      </w:r>
    </w:p>
    <w:p w14:paraId="003986B7">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★1）分析环境：大气，真空</w:t>
      </w:r>
    </w:p>
    <w:p w14:paraId="39F1BF92">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2）配真空系统用于真空环境分析，管路配真空表位于方便观察的位置，真空表方便拆换；</w:t>
      </w:r>
    </w:p>
    <w:p w14:paraId="0A4F1A83">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3）样品室空间应不少于以下尺寸：6.8（高） × 30（宽） × 30（长） cm；</w:t>
      </w:r>
    </w:p>
    <w:p w14:paraId="17B8C69E">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4）分析点应位于样品室中位，可分析较大的样品；</w:t>
      </w:r>
    </w:p>
    <w:p w14:paraId="26A869A0">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5）应配备10位自动进样器（含10位样品固定环）；</w:t>
      </w:r>
    </w:p>
    <w:p w14:paraId="25E8EAE1">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6）应配不同尺寸样品杯各一套，含制样环、制样膜等制样辅材；</w:t>
      </w:r>
    </w:p>
    <w:p w14:paraId="738785B6">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7）应配制样压片机一台；</w:t>
      </w:r>
    </w:p>
    <w:p w14:paraId="31219E5D">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8）应配样品室真空密封圈一根，存放厂家，质保后根据用户需求更换，含人工。</w:t>
      </w:r>
    </w:p>
    <w:p w14:paraId="71C52A60">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1.5计算机</w:t>
      </w:r>
    </w:p>
    <w:p w14:paraId="33F7A7DA">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控制电脑：应能与能谱仪网线连接，控制能谱仪操作，数据储存和数据传输；可支持随时更换</w:t>
      </w:r>
      <w:r>
        <w:rPr>
          <w:rStyle w:val="56"/>
          <w:rFonts w:hint="eastAsia" w:ascii="宋体" w:hAnsi="宋体" w:cs="宋体"/>
          <w:sz w:val="24"/>
          <w:szCs w:val="24"/>
          <w:highlight w:val="none"/>
          <w:lang w:bidi="ar"/>
        </w:rPr>
        <w:t>电脑重装控制软件</w:t>
      </w:r>
      <w:r>
        <w:rPr>
          <w:rFonts w:hint="eastAsia" w:ascii="宋体" w:hAnsi="宋体" w:cs="宋体"/>
          <w:sz w:val="24"/>
          <w:szCs w:val="24"/>
          <w:highlight w:val="none"/>
          <w:lang w:bidi="ar"/>
        </w:rPr>
        <w:t>；电脑主要配置不低于：最新高性能I7 CPU，64GB内存，硬盘2TB，27”显示器2K 360Hz ，DVD-RW可擦写光驱，Windows 11 OS。</w:t>
      </w:r>
    </w:p>
    <w:p w14:paraId="3EEF1D27">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1.6 分析软件</w:t>
      </w:r>
    </w:p>
    <w:p w14:paraId="763E3B87">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1）分析软件具备定性和定量分析功能，配置多种算法模块，涵盖线性、多项式、强度校正、浓度校正等。标配FP法半定量分析软件，ROHS检测认证元素定量分析软件；</w:t>
      </w:r>
    </w:p>
    <w:p w14:paraId="4C7EAC7E">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2）测试控制：软件可控制仪器测试，自动控制样品室气氛，高压电源，滤光片选择，样品位选择，X光管自动保护装置。</w:t>
      </w:r>
    </w:p>
    <w:p w14:paraId="32AC40C1">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3）分析软件应能免费脱机安装在其它计算机上，进行离线分析工作，软件所有功能开放给采购人，为采购人提供方便的使用。</w:t>
      </w:r>
    </w:p>
    <w:p w14:paraId="153D03EF">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4）分析软件应至少包含以下功能（需提供软件操作证明截屏）：</w:t>
      </w:r>
    </w:p>
    <w:p w14:paraId="60CC96CD">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a）自动定性分析：自动元素鉴别，数字滤波和背景，重叠峰比较，能量光标，峰元素标记，多谱峰重叠比较功能等；同时具有手动分析和谱线核查分析；有标样分析，强度曲线分析方法；</w:t>
      </w:r>
    </w:p>
    <w:p w14:paraId="23C23268">
      <w:pPr>
        <w:pStyle w:val="29"/>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b）定量分析：基本参数法，半无标样法，强度曲线/标准曲线等多种定量分析方法；分析技术包括：比例、分类、标准校正、线性拟合、二次方程、强度校正、浓度校正等；</w:t>
      </w:r>
    </w:p>
    <w:p w14:paraId="3E64A966">
      <w:pPr>
        <w:pStyle w:val="29"/>
        <w:spacing w:line="360" w:lineRule="auto"/>
        <w:ind w:firstLine="480" w:firstLineChars="200"/>
        <w:rPr>
          <w:rFonts w:ascii="宋体" w:hAnsi="宋体" w:cs="宋体"/>
          <w:sz w:val="24"/>
          <w:szCs w:val="24"/>
          <w:highlight w:val="none"/>
          <w:lang w:bidi="ar"/>
        </w:rPr>
      </w:pPr>
      <w:r>
        <w:rPr>
          <w:rFonts w:hint="eastAsia" w:ascii="宋体" w:hAnsi="宋体" w:cs="宋体"/>
          <w:sz w:val="24"/>
          <w:szCs w:val="24"/>
          <w:highlight w:val="none"/>
          <w:lang w:bidi="ar"/>
        </w:rPr>
        <w:t>★5）配置无标样定量分析软件功能：必须配备能实现各种基体样品完全无标样分析软件，能在无标样的情况下顺利完成各类样品中的元素定量分析；</w:t>
      </w:r>
    </w:p>
    <w:p w14:paraId="6C1483E4">
      <w:pPr>
        <w:pStyle w:val="29"/>
        <w:shd w:val="clear"/>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6）无标样定量软件必须匹配工厂校准；</w:t>
      </w:r>
    </w:p>
    <w:p w14:paraId="6A149FF0">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7）无标样定量软件可分析所有类型的大块样品、液体样品及不规则形状的小样品；</w:t>
      </w:r>
    </w:p>
    <w:p w14:paraId="3448996C">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8）无标样定量软件可进行单层、多层厚度分析及其多元素、单元素浓度计算；</w:t>
      </w:r>
    </w:p>
    <w:p w14:paraId="603298E7">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9）无标样定量软件可实现背景、光谱线交迭、光谱线干扰、基体效应、物理效应、矿物效应的多重校正；</w:t>
      </w:r>
    </w:p>
    <w:p w14:paraId="1020B980">
      <w:pPr>
        <w:pStyle w:val="29"/>
        <w:spacing w:line="360" w:lineRule="auto"/>
        <w:ind w:firstLine="480" w:firstLineChars="200"/>
        <w:rPr>
          <w:rFonts w:hint="eastAsia" w:ascii="宋体" w:hAnsi="宋体" w:cs="宋体"/>
          <w:sz w:val="24"/>
          <w:szCs w:val="24"/>
          <w:highlight w:val="none"/>
          <w:lang w:bidi="ar"/>
        </w:rPr>
      </w:pPr>
      <w:r>
        <w:rPr>
          <w:rFonts w:hint="eastAsia" w:ascii="Times New Roman" w:hAnsi="Times New Roman"/>
          <w:bCs/>
          <w:sz w:val="24"/>
          <w:highlight w:val="none"/>
        </w:rPr>
        <w:t>▲</w:t>
      </w:r>
      <w:r>
        <w:rPr>
          <w:rFonts w:hint="eastAsia" w:ascii="宋体" w:hAnsi="宋体" w:cs="宋体"/>
          <w:sz w:val="24"/>
          <w:szCs w:val="24"/>
          <w:highlight w:val="none"/>
          <w:lang w:bidi="ar"/>
        </w:rPr>
        <w:t>10）配备至少10个专用标准样品用于校准无标定量分析结果；</w:t>
      </w:r>
    </w:p>
    <w:p w14:paraId="52792656">
      <w:pPr>
        <w:spacing w:before="60" w:after="60" w:line="360" w:lineRule="auto"/>
        <w:ind w:firstLine="480" w:firstLineChars="200"/>
        <w:rPr>
          <w:rFonts w:ascii="Times New Roman" w:hAnsi="Times New Roman"/>
          <w:bCs/>
          <w:sz w:val="24"/>
          <w:highlight w:val="none"/>
        </w:rPr>
      </w:pPr>
      <w:r>
        <w:rPr>
          <w:rFonts w:hint="eastAsia" w:ascii="宋体" w:hAnsi="宋体" w:cs="宋体"/>
          <w:sz w:val="24"/>
          <w:szCs w:val="24"/>
          <w:highlight w:val="none"/>
          <w:lang w:bidi="ar"/>
        </w:rPr>
        <w:t xml:space="preserve">1.7 </w:t>
      </w:r>
      <w:r>
        <w:rPr>
          <w:rFonts w:ascii="Times New Roman" w:hAnsi="Times New Roman"/>
          <w:bCs/>
          <w:sz w:val="24"/>
          <w:highlight w:val="none"/>
        </w:rPr>
        <w:t>其他</w:t>
      </w:r>
      <w:r>
        <w:rPr>
          <w:rFonts w:hint="eastAsia" w:ascii="Times New Roman" w:hAnsi="Times New Roman"/>
          <w:bCs/>
          <w:sz w:val="24"/>
          <w:highlight w:val="none"/>
        </w:rPr>
        <w:t>要求</w:t>
      </w:r>
    </w:p>
    <w:p w14:paraId="0CC08BFC">
      <w:pPr>
        <w:spacing w:before="60" w:after="60" w:line="360" w:lineRule="auto"/>
        <w:ind w:firstLine="480" w:firstLineChars="200"/>
        <w:rPr>
          <w:rFonts w:ascii="Times New Roman" w:hAnsi="Times New Roman"/>
          <w:bCs/>
          <w:sz w:val="24"/>
          <w:highlight w:val="none"/>
        </w:rPr>
      </w:pPr>
      <w:r>
        <w:rPr>
          <w:rFonts w:ascii="Times New Roman" w:hAnsi="Times New Roman"/>
          <w:bCs/>
          <w:sz w:val="24"/>
          <w:highlight w:val="none"/>
        </w:rPr>
        <w:t>1）仪器及生产商必须满足的相关国际安全标准，如质量标准：ISO9001 &amp; EN29002认证等。</w:t>
      </w:r>
    </w:p>
    <w:p w14:paraId="51C6F4C0">
      <w:pPr>
        <w:spacing w:before="60" w:after="60" w:line="360" w:lineRule="auto"/>
        <w:ind w:firstLine="480" w:firstLineChars="200"/>
        <w:rPr>
          <w:rFonts w:ascii="Times New Roman" w:hAnsi="Times New Roman"/>
          <w:bCs/>
          <w:sz w:val="24"/>
          <w:highlight w:val="none"/>
        </w:rPr>
      </w:pPr>
      <w:r>
        <w:rPr>
          <w:rFonts w:ascii="Segoe UI Symbol" w:hAnsi="Segoe UI Symbol" w:cs="Segoe UI Symbol"/>
          <w:bCs/>
          <w:sz w:val="24"/>
          <w:highlight w:val="none"/>
        </w:rPr>
        <w:t>★</w:t>
      </w:r>
      <w:r>
        <w:rPr>
          <w:rFonts w:ascii="Times New Roman" w:hAnsi="Times New Roman"/>
          <w:bCs/>
          <w:sz w:val="24"/>
          <w:highlight w:val="none"/>
        </w:rPr>
        <w:t>2）满足X射线防护标准：具备国家辐射安全豁免资质并提供相应的辐射豁免</w:t>
      </w:r>
      <w:r>
        <w:rPr>
          <w:rFonts w:hint="eastAsia" w:ascii="Times New Roman" w:hAnsi="Times New Roman"/>
          <w:bCs/>
          <w:sz w:val="24"/>
          <w:highlight w:val="none"/>
        </w:rPr>
        <w:t>证书</w:t>
      </w:r>
      <w:r>
        <w:rPr>
          <w:rFonts w:hint="eastAsia" w:ascii="Times New Roman" w:hAnsi="Times New Roman"/>
          <w:sz w:val="24"/>
          <w:highlight w:val="none"/>
        </w:rPr>
        <w:t>（</w:t>
      </w:r>
      <w:r>
        <w:rPr>
          <w:rFonts w:ascii="Times New Roman" w:hAnsi="Times New Roman"/>
          <w:bCs/>
          <w:sz w:val="24"/>
          <w:highlight w:val="none"/>
        </w:rPr>
        <w:t>需与</w:t>
      </w:r>
      <w:r>
        <w:rPr>
          <w:rFonts w:hint="eastAsia" w:ascii="Times New Roman" w:hAnsi="Times New Roman"/>
          <w:bCs/>
          <w:sz w:val="24"/>
          <w:highlight w:val="none"/>
        </w:rPr>
        <w:t>响应</w:t>
      </w:r>
      <w:r>
        <w:rPr>
          <w:rFonts w:ascii="Times New Roman" w:hAnsi="Times New Roman"/>
          <w:bCs/>
          <w:sz w:val="24"/>
          <w:highlight w:val="none"/>
        </w:rPr>
        <w:t>产品型号完全一致、管电压和管电流和响应</w:t>
      </w:r>
      <w:r>
        <w:rPr>
          <w:rFonts w:hint="eastAsia" w:ascii="Times New Roman" w:hAnsi="Times New Roman"/>
          <w:bCs/>
          <w:sz w:val="24"/>
          <w:highlight w:val="none"/>
        </w:rPr>
        <w:t>文件</w:t>
      </w:r>
      <w:r>
        <w:rPr>
          <w:rFonts w:ascii="Times New Roman" w:hAnsi="Times New Roman"/>
          <w:bCs/>
          <w:sz w:val="24"/>
          <w:highlight w:val="none"/>
        </w:rPr>
        <w:t>完全一致）。</w:t>
      </w:r>
    </w:p>
    <w:p w14:paraId="5A35311C">
      <w:pPr>
        <w:spacing w:before="60" w:after="60" w:line="360" w:lineRule="auto"/>
        <w:ind w:firstLine="480" w:firstLineChars="200"/>
        <w:rPr>
          <w:rFonts w:hint="eastAsia" w:ascii="Times New Roman" w:hAnsi="Times New Roman"/>
          <w:bCs/>
          <w:sz w:val="24"/>
          <w:highlight w:val="none"/>
        </w:rPr>
      </w:pPr>
      <w:r>
        <w:rPr>
          <w:rFonts w:hint="eastAsia" w:ascii="Times New Roman" w:hAnsi="Times New Roman"/>
          <w:bCs/>
          <w:sz w:val="24"/>
          <w:highlight w:val="none"/>
        </w:rPr>
        <w:t>▲</w:t>
      </w:r>
      <w:r>
        <w:rPr>
          <w:rFonts w:hint="eastAsia" w:ascii="Times New Roman" w:hAnsi="Times New Roman"/>
          <w:sz w:val="24"/>
          <w:highlight w:val="none"/>
        </w:rPr>
        <w:t>3）</w:t>
      </w:r>
      <w:r>
        <w:rPr>
          <w:rFonts w:ascii="Times New Roman" w:hAnsi="Times New Roman"/>
          <w:sz w:val="24"/>
          <w:highlight w:val="none"/>
        </w:rPr>
        <w:t>仪器外壳防护罩外部</w:t>
      </w:r>
      <w:r>
        <w:rPr>
          <w:rFonts w:hint="eastAsia" w:ascii="Times New Roman" w:hAnsi="Times New Roman"/>
          <w:sz w:val="24"/>
          <w:highlight w:val="none"/>
        </w:rPr>
        <w:t>1 cm处</w:t>
      </w:r>
      <w:r>
        <w:rPr>
          <w:rFonts w:ascii="Times New Roman" w:hAnsi="Times New Roman"/>
          <w:sz w:val="24"/>
          <w:highlight w:val="none"/>
        </w:rPr>
        <w:t>泄漏X射线量</w:t>
      </w:r>
      <w:r>
        <w:rPr>
          <w:rFonts w:hint="eastAsia" w:ascii="Times New Roman" w:hAnsi="Times New Roman"/>
          <w:sz w:val="24"/>
          <w:highlight w:val="none"/>
        </w:rPr>
        <w:t xml:space="preserve"> </w:t>
      </w:r>
      <w:r>
        <w:rPr>
          <w:rFonts w:ascii="Times New Roman" w:hAnsi="Times New Roman"/>
          <w:sz w:val="24"/>
          <w:highlight w:val="none"/>
        </w:rPr>
        <w:t xml:space="preserve">&lt; </w:t>
      </w:r>
      <w:r>
        <w:rPr>
          <w:rFonts w:hint="eastAsia" w:ascii="Times New Roman" w:hAnsi="Times New Roman"/>
          <w:sz w:val="24"/>
          <w:highlight w:val="none"/>
        </w:rPr>
        <w:t xml:space="preserve">0.2 </w:t>
      </w:r>
      <w:r>
        <w:rPr>
          <w:rFonts w:ascii="Times New Roman" w:hAnsi="Times New Roman"/>
          <w:sz w:val="24"/>
          <w:highlight w:val="none"/>
        </w:rPr>
        <w:t>μSv/h，</w:t>
      </w:r>
      <w:r>
        <w:rPr>
          <w:rFonts w:hint="eastAsia" w:ascii="Times New Roman" w:hAnsi="Times New Roman"/>
          <w:sz w:val="24"/>
          <w:highlight w:val="none"/>
        </w:rPr>
        <w:t>具备安全联锁功能（提供测试结果</w:t>
      </w:r>
      <w:r>
        <w:rPr>
          <w:rFonts w:hint="eastAsia" w:ascii="Times New Roman" w:hAnsi="Times New Roman"/>
          <w:sz w:val="24"/>
          <w:highlight w:val="none"/>
          <w:lang w:eastAsia="zh-CN"/>
        </w:rPr>
        <w:t>，</w:t>
      </w:r>
      <w:r>
        <w:rPr>
          <w:rFonts w:hint="eastAsia" w:ascii="Times New Roman" w:hAnsi="Times New Roman"/>
          <w:sz w:val="24"/>
          <w:highlight w:val="none"/>
        </w:rPr>
        <w:t>证明材料提供复印件加盖公章）；</w:t>
      </w:r>
    </w:p>
    <w:p w14:paraId="58A8380D">
      <w:pPr>
        <w:spacing w:before="60" w:after="60" w:line="360" w:lineRule="auto"/>
        <w:ind w:firstLine="480" w:firstLineChars="200"/>
        <w:rPr>
          <w:rFonts w:ascii="Times New Roman" w:hAnsi="Times New Roman"/>
          <w:bCs/>
          <w:sz w:val="24"/>
          <w:highlight w:val="none"/>
        </w:rPr>
      </w:pPr>
      <w:r>
        <w:rPr>
          <w:rFonts w:hint="eastAsia" w:ascii="Times New Roman" w:hAnsi="Times New Roman"/>
          <w:bCs/>
          <w:sz w:val="24"/>
          <w:highlight w:val="none"/>
        </w:rPr>
        <w:t>4</w:t>
      </w:r>
      <w:r>
        <w:rPr>
          <w:rFonts w:ascii="Times New Roman" w:hAnsi="Times New Roman"/>
          <w:bCs/>
          <w:sz w:val="24"/>
          <w:highlight w:val="none"/>
        </w:rPr>
        <w:t>）仪器能够</w:t>
      </w:r>
      <w:r>
        <w:rPr>
          <w:rFonts w:hint="eastAsia" w:ascii="Times New Roman" w:hAnsi="Times New Roman"/>
          <w:bCs/>
          <w:sz w:val="24"/>
          <w:highlight w:val="none"/>
        </w:rPr>
        <w:t>7*24小时</w:t>
      </w:r>
      <w:r>
        <w:rPr>
          <w:rFonts w:ascii="Times New Roman" w:hAnsi="Times New Roman"/>
          <w:bCs/>
          <w:sz w:val="24"/>
          <w:highlight w:val="none"/>
        </w:rPr>
        <w:t>连续工作。</w:t>
      </w:r>
    </w:p>
    <w:p w14:paraId="487B1D71">
      <w:pPr>
        <w:spacing w:before="60" w:after="60" w:line="360" w:lineRule="auto"/>
        <w:ind w:firstLine="480" w:firstLineChars="200"/>
        <w:rPr>
          <w:rFonts w:ascii="Times New Roman" w:hAnsi="Times New Roman"/>
          <w:bCs/>
          <w:sz w:val="24"/>
          <w:highlight w:val="none"/>
        </w:rPr>
      </w:pPr>
      <w:r>
        <w:rPr>
          <w:rFonts w:hint="eastAsia" w:ascii="Times New Roman" w:hAnsi="Times New Roman"/>
          <w:bCs/>
          <w:sz w:val="24"/>
          <w:highlight w:val="none"/>
        </w:rPr>
        <w:t>5）应配标准实验桌，用于安放仪器和样品制备，存放配件耗材等；实验桌满足仪器对防震的要求，应满足制样需求，配两张实验凳。</w:t>
      </w:r>
    </w:p>
    <w:p w14:paraId="36256645">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注：</w:t>
      </w:r>
    </w:p>
    <w:p w14:paraId="53D14653">
      <w:pPr>
        <w:pStyle w:val="16"/>
        <w:pBdr>
          <w:top w:val="none" w:color="000000" w:sz="0" w:space="0"/>
          <w:left w:val="none" w:color="000000" w:sz="0" w:space="0"/>
          <w:right w:val="none" w:color="000000" w:sz="0" w:space="0"/>
        </w:pBdr>
        <w:wordWrap w:val="0"/>
        <w:spacing w:line="312"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1、凡标有最低一级序号的指标项即为一项技术条款，无论是否隶属于上一级编号；</w:t>
      </w:r>
    </w:p>
    <w:p w14:paraId="1E83AF27">
      <w:pPr>
        <w:pStyle w:val="16"/>
        <w:widowControl/>
        <w:numPr>
          <w:ilvl w:val="255"/>
          <w:numId w:val="0"/>
        </w:numPr>
        <w:pBdr>
          <w:top w:val="none" w:color="000000" w:sz="0" w:space="0"/>
          <w:left w:val="none" w:color="000000" w:sz="0" w:space="0"/>
          <w:right w:val="none" w:color="000000" w:sz="0" w:space="0"/>
        </w:pBdr>
        <w:wordWrap w:val="0"/>
        <w:spacing w:line="312" w:lineRule="auto"/>
        <w:ind w:firstLine="480" w:firstLineChars="200"/>
        <w:rPr>
          <w:highlight w:val="none"/>
        </w:rPr>
      </w:pPr>
      <w:r>
        <w:rPr>
          <w:rFonts w:hint="eastAsia" w:ascii="宋体" w:hAnsi="宋体" w:cs="宋体"/>
          <w:sz w:val="24"/>
          <w:szCs w:val="24"/>
          <w:highlight w:val="none"/>
        </w:rPr>
        <w:t>2、对标注“★”“▲”项的技术要求（除另有说明外）必须在响应文件中提供公开发行的产品说明书或产品彩页或第三方检测报告复印件或可查询的产品制造商官网截图（附官网链接）或功能截图等佐证材料（如为复印件需加盖供应商公章，供应商自行承诺的证明材料不认可），未提供佐证资料的，评标时不予认可：加“★”未提供佐证材料或提供的佐证材料不满足要求，按无效标处理；“▲”未提供佐证材料或提供的佐证材料不满足要求的，按负偏离扣分处理。</w:t>
      </w:r>
    </w:p>
    <w:p w14:paraId="3CE32C35">
      <w:pPr>
        <w:rPr>
          <w:highlight w:val="none"/>
        </w:rPr>
      </w:pPr>
    </w:p>
    <w:p w14:paraId="7223BA34">
      <w:pPr>
        <w:numPr>
          <w:ilvl w:val="0"/>
          <w:numId w:val="55"/>
        </w:numPr>
        <w:adjustRightInd w:val="0"/>
        <w:snapToGrid w:val="0"/>
        <w:spacing w:before="120" w:beforeLines="50" w:after="120" w:afterLines="50" w:line="360" w:lineRule="auto"/>
        <w:outlineLvl w:val="2"/>
        <w:rPr>
          <w:b/>
          <w:color w:val="000000" w:themeColor="text1"/>
          <w:sz w:val="28"/>
          <w:szCs w:val="28"/>
          <w:highlight w:val="none"/>
          <w:lang w:val="zh-CN"/>
          <w14:textFill>
            <w14:solidFill>
              <w14:schemeClr w14:val="tx1"/>
            </w14:solidFill>
          </w14:textFill>
        </w:rPr>
      </w:pPr>
      <w:r>
        <w:rPr>
          <w:rFonts w:hint="eastAsia"/>
          <w:b/>
          <w:color w:val="000000" w:themeColor="text1"/>
          <w:sz w:val="28"/>
          <w:szCs w:val="28"/>
          <w:highlight w:val="none"/>
          <w:lang w:val="zh-CN"/>
          <w14:textFill>
            <w14:solidFill>
              <w14:schemeClr w14:val="tx1"/>
            </w14:solidFill>
          </w14:textFill>
        </w:rPr>
        <w:t>商务条款</w:t>
      </w:r>
    </w:p>
    <w:p w14:paraId="5FAB4BA2">
      <w:pPr>
        <w:numPr>
          <w:ilvl w:val="0"/>
          <w:numId w:val="57"/>
        </w:numPr>
        <w:snapToGrid w:val="0"/>
        <w:spacing w:line="360" w:lineRule="auto"/>
        <w:rPr>
          <w:rFonts w:hint="eastAsia" w:ascii="宋体" w:hAnsi="宋体" w:cs="宋体"/>
          <w:b/>
          <w:bCs/>
          <w:sz w:val="24"/>
          <w:szCs w:val="24"/>
          <w:highlight w:val="none"/>
          <w:lang w:bidi="ar"/>
        </w:rPr>
      </w:pPr>
      <w:r>
        <w:rPr>
          <w:rFonts w:hint="eastAsia" w:ascii="Arial" w:hAnsi="Arial"/>
          <w:b/>
          <w:bCs/>
          <w:sz w:val="24"/>
          <w:szCs w:val="24"/>
          <w:highlight w:val="none"/>
          <w:lang w:bidi="ar"/>
        </w:rPr>
        <w:t>供货</w:t>
      </w:r>
      <w:r>
        <w:rPr>
          <w:rFonts w:hint="eastAsia" w:ascii="宋体" w:hAnsi="宋体" w:cs="宋体"/>
          <w:b/>
          <w:bCs/>
          <w:sz w:val="24"/>
          <w:szCs w:val="24"/>
          <w:highlight w:val="none"/>
          <w:lang w:bidi="ar"/>
        </w:rPr>
        <w:t>、运输及安装调试</w:t>
      </w:r>
    </w:p>
    <w:p w14:paraId="498171AC">
      <w:pPr>
        <w:numPr>
          <w:ilvl w:val="0"/>
          <w:numId w:val="58"/>
        </w:numPr>
        <w:snapToGrid w:val="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合同签订后三个月内完成供货、安装、调试及交付使用。</w:t>
      </w:r>
    </w:p>
    <w:p w14:paraId="05F2BBF0">
      <w:pPr>
        <w:numPr>
          <w:ilvl w:val="0"/>
          <w:numId w:val="58"/>
        </w:numPr>
        <w:snapToGrid w:val="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供应商应将货物送到采购人指定地点，并负责办理运输和装卸、安装调试，费用由供应商负责。</w:t>
      </w:r>
    </w:p>
    <w:p w14:paraId="4C20A19B">
      <w:pPr>
        <w:numPr>
          <w:ilvl w:val="0"/>
          <w:numId w:val="58"/>
        </w:numPr>
        <w:snapToGrid w:val="0"/>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t>供应商负责按照采购文件及所签订合同的具体要求及产品数量，将货物运送到用户指定地点，负责设备及系统的安装调试，并经最后验收合格后交付采购人使用。</w:t>
      </w:r>
    </w:p>
    <w:p w14:paraId="1AE492B9">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质保期服务：</w:t>
      </w:r>
    </w:p>
    <w:p w14:paraId="4DDD8DC3">
      <w:pPr>
        <w:numPr>
          <w:ilvl w:val="255"/>
          <w:numId w:val="0"/>
        </w:numPr>
        <w:snapToGrid w:val="0"/>
        <w:spacing w:line="360" w:lineRule="auto"/>
        <w:ind w:firstLine="480" w:firstLineChars="200"/>
        <w:rPr>
          <w:rFonts w:ascii="Times New Roman" w:hAnsi="Times New Roman"/>
          <w:bCs/>
          <w:sz w:val="24"/>
          <w:highlight w:val="none"/>
        </w:rPr>
      </w:pPr>
      <w:r>
        <w:rPr>
          <w:rFonts w:hint="eastAsia" w:ascii="宋体" w:hAnsi="宋体" w:cs="宋体"/>
          <w:sz w:val="24"/>
          <w:szCs w:val="24"/>
          <w:highlight w:val="none"/>
          <w:lang w:bidi="ar"/>
        </w:rPr>
        <w:t>1）★提供整机原厂免费质保一年，X射线光管及探测器免费质保三年，质保期从验收报告签署之日起算。</w:t>
      </w:r>
      <w:r>
        <w:rPr>
          <w:rFonts w:ascii="Times New Roman" w:hAnsi="Times New Roman"/>
          <w:bCs/>
          <w:sz w:val="24"/>
          <w:highlight w:val="none"/>
        </w:rPr>
        <w:t>质保期到期前一个月内，</w:t>
      </w:r>
      <w:r>
        <w:rPr>
          <w:rFonts w:hint="eastAsia" w:ascii="Times New Roman" w:hAnsi="Times New Roman"/>
          <w:bCs/>
          <w:sz w:val="24"/>
          <w:highlight w:val="none"/>
        </w:rPr>
        <w:t>安排</w:t>
      </w:r>
      <w:r>
        <w:rPr>
          <w:rFonts w:ascii="Times New Roman" w:hAnsi="Times New Roman"/>
          <w:bCs/>
          <w:sz w:val="24"/>
          <w:highlight w:val="none"/>
        </w:rPr>
        <w:t>工程师到现场对</w:t>
      </w:r>
      <w:r>
        <w:rPr>
          <w:rFonts w:hint="eastAsia" w:ascii="Times New Roman" w:hAnsi="Times New Roman"/>
          <w:bCs/>
          <w:sz w:val="24"/>
          <w:highlight w:val="none"/>
        </w:rPr>
        <w:t>设备</w:t>
      </w:r>
      <w:r>
        <w:rPr>
          <w:rFonts w:ascii="Times New Roman" w:hAnsi="Times New Roman"/>
          <w:bCs/>
          <w:sz w:val="24"/>
          <w:highlight w:val="none"/>
        </w:rPr>
        <w:t>进行完善检修和维护，并形成报告，保证</w:t>
      </w:r>
      <w:r>
        <w:rPr>
          <w:rFonts w:hint="eastAsia" w:ascii="Times New Roman" w:hAnsi="Times New Roman"/>
          <w:bCs/>
          <w:sz w:val="24"/>
          <w:highlight w:val="none"/>
        </w:rPr>
        <w:t>设备</w:t>
      </w:r>
      <w:r>
        <w:rPr>
          <w:rFonts w:ascii="Times New Roman" w:hAnsi="Times New Roman"/>
          <w:bCs/>
          <w:sz w:val="24"/>
          <w:highlight w:val="none"/>
        </w:rPr>
        <w:t>状态良好。在质保期结束后</w:t>
      </w:r>
      <w:r>
        <w:rPr>
          <w:rFonts w:hint="eastAsia" w:ascii="Times New Roman" w:hAnsi="Times New Roman"/>
          <w:bCs/>
          <w:sz w:val="24"/>
          <w:highlight w:val="none"/>
        </w:rPr>
        <w:t>，</w:t>
      </w:r>
      <w:r>
        <w:rPr>
          <w:rFonts w:ascii="Times New Roman" w:hAnsi="Times New Roman"/>
          <w:bCs/>
          <w:sz w:val="24"/>
          <w:highlight w:val="none"/>
        </w:rPr>
        <w:t>赠送</w:t>
      </w:r>
      <w:r>
        <w:rPr>
          <w:rFonts w:hint="eastAsia" w:ascii="Times New Roman" w:hAnsi="Times New Roman"/>
          <w:bCs/>
          <w:sz w:val="24"/>
          <w:highlight w:val="none"/>
        </w:rPr>
        <w:t>两</w:t>
      </w:r>
      <w:r>
        <w:rPr>
          <w:rFonts w:ascii="Times New Roman" w:hAnsi="Times New Roman"/>
          <w:bCs/>
          <w:sz w:val="24"/>
          <w:highlight w:val="none"/>
        </w:rPr>
        <w:t>次工程师免费上门维修维护（耗材或配件另算）。</w:t>
      </w:r>
      <w:r>
        <w:rPr>
          <w:rFonts w:hint="eastAsia" w:ascii="宋体" w:hAnsi="宋体" w:cs="宋体"/>
          <w:sz w:val="24"/>
          <w:szCs w:val="24"/>
          <w:highlight w:val="none"/>
          <w:lang w:bidi="ar"/>
        </w:rPr>
        <w:t>软件及软件分析所需的数据库等终身免费升级。</w:t>
      </w:r>
      <w:r>
        <w:rPr>
          <w:rFonts w:hint="eastAsia" w:ascii="Times New Roman" w:hAnsi="Times New Roman"/>
          <w:bCs/>
          <w:sz w:val="24"/>
          <w:highlight w:val="none"/>
        </w:rPr>
        <w:t>（需要提供承诺书并加盖供应商公章）</w:t>
      </w:r>
    </w:p>
    <w:p w14:paraId="4794416A">
      <w:pPr>
        <w:numPr>
          <w:ilvl w:val="255"/>
          <w:numId w:val="0"/>
        </w:numPr>
        <w:snapToGrid w:val="0"/>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lang w:bidi="ar"/>
        </w:rPr>
        <w:t>2）在质保期内，成交供应商将对货物非人为原因出现的质量问题负责处理解决并承担一切费用。</w:t>
      </w:r>
    </w:p>
    <w:p w14:paraId="1D9E559A">
      <w:pPr>
        <w:numPr>
          <w:ilvl w:val="255"/>
          <w:numId w:val="0"/>
        </w:numPr>
        <w:snapToGrid w:val="0"/>
        <w:spacing w:line="360" w:lineRule="auto"/>
        <w:ind w:firstLine="480" w:firstLineChars="200"/>
        <w:rPr>
          <w:rFonts w:ascii="Times New Roman" w:hAnsi="Times New Roman"/>
          <w:bCs/>
          <w:sz w:val="24"/>
          <w:highlight w:val="none"/>
        </w:rPr>
      </w:pPr>
      <w:r>
        <w:rPr>
          <w:rFonts w:hint="eastAsia" w:ascii="宋体" w:hAnsi="宋体" w:cs="宋体"/>
          <w:sz w:val="24"/>
          <w:szCs w:val="24"/>
          <w:highlight w:val="none"/>
          <w:lang w:bidi="ar"/>
        </w:rPr>
        <w:t>3）</w:t>
      </w:r>
      <w:r>
        <w:rPr>
          <w:rFonts w:hint="eastAsia" w:ascii="Times New Roman" w:hAnsi="Times New Roman"/>
          <w:bCs/>
          <w:sz w:val="24"/>
          <w:highlight w:val="none"/>
        </w:rPr>
        <w:t>供应商或响应产品厂家需</w:t>
      </w:r>
      <w:r>
        <w:rPr>
          <w:rFonts w:ascii="Times New Roman" w:hAnsi="Times New Roman"/>
          <w:bCs/>
          <w:sz w:val="24"/>
          <w:highlight w:val="none"/>
        </w:rPr>
        <w:t>在国内要有维修中心和应用实验室（提供实验室照片及地址等证明资料，公司盖章），</w:t>
      </w:r>
      <w:r>
        <w:rPr>
          <w:rFonts w:hint="eastAsia" w:ascii="Times New Roman" w:hAnsi="Times New Roman"/>
          <w:bCs/>
          <w:sz w:val="24"/>
          <w:highlight w:val="none"/>
        </w:rPr>
        <w:t>需配备</w:t>
      </w:r>
      <w:r>
        <w:rPr>
          <w:rFonts w:ascii="Times New Roman" w:hAnsi="Times New Roman"/>
          <w:bCs/>
          <w:sz w:val="24"/>
          <w:highlight w:val="none"/>
        </w:rPr>
        <w:t>专职的维修工程师，</w:t>
      </w:r>
      <w:r>
        <w:rPr>
          <w:rFonts w:hint="eastAsia" w:ascii="Times New Roman" w:hAnsi="Times New Roman"/>
          <w:bCs/>
          <w:sz w:val="24"/>
          <w:highlight w:val="none"/>
        </w:rPr>
        <w:t>需</w:t>
      </w:r>
      <w:r>
        <w:rPr>
          <w:rFonts w:ascii="Times New Roman" w:hAnsi="Times New Roman"/>
          <w:bCs/>
          <w:sz w:val="24"/>
          <w:highlight w:val="none"/>
        </w:rPr>
        <w:t>有备品备件库。</w:t>
      </w:r>
    </w:p>
    <w:p w14:paraId="5E46C378">
      <w:pPr>
        <w:numPr>
          <w:ilvl w:val="255"/>
          <w:numId w:val="0"/>
        </w:numPr>
        <w:snapToGrid w:val="0"/>
        <w:spacing w:line="360" w:lineRule="auto"/>
        <w:ind w:firstLine="480" w:firstLineChars="200"/>
        <w:rPr>
          <w:rFonts w:ascii="Times New Roman" w:hAnsi="Times New Roman"/>
          <w:bCs/>
          <w:sz w:val="24"/>
          <w:highlight w:val="none"/>
        </w:rPr>
      </w:pPr>
      <w:r>
        <w:rPr>
          <w:rFonts w:hint="eastAsia" w:ascii="宋体" w:hAnsi="宋体" w:cs="宋体"/>
          <w:sz w:val="24"/>
          <w:szCs w:val="24"/>
          <w:highlight w:val="none"/>
          <w:lang w:bidi="ar"/>
        </w:rPr>
        <w:t>4）</w:t>
      </w:r>
      <w:r>
        <w:rPr>
          <w:rFonts w:hint="eastAsia" w:ascii="Times New Roman" w:hAnsi="Times New Roman"/>
          <w:bCs/>
          <w:sz w:val="24"/>
          <w:highlight w:val="none"/>
        </w:rPr>
        <w:t>响应时效：提供7*24小时售后服务热线，故障报修2小时内响应，1-2个工作日内解决问题并维修完毕。</w:t>
      </w:r>
    </w:p>
    <w:p w14:paraId="5BC5BA38">
      <w:pPr>
        <w:spacing w:before="60" w:after="60" w:line="360" w:lineRule="auto"/>
        <w:ind w:firstLine="480" w:firstLineChars="200"/>
        <w:rPr>
          <w:rFonts w:ascii="Times New Roman" w:hAnsi="Times New Roman"/>
          <w:bCs/>
          <w:sz w:val="24"/>
          <w:highlight w:val="none"/>
        </w:rPr>
      </w:pPr>
      <w:r>
        <w:rPr>
          <w:rFonts w:hint="eastAsia" w:ascii="Times New Roman" w:hAnsi="Times New Roman"/>
          <w:bCs/>
          <w:sz w:val="24"/>
          <w:highlight w:val="none"/>
        </w:rPr>
        <w:t>5</w:t>
      </w:r>
      <w:r>
        <w:rPr>
          <w:rFonts w:ascii="Times New Roman" w:hAnsi="Times New Roman"/>
          <w:bCs/>
          <w:sz w:val="24"/>
          <w:highlight w:val="none"/>
        </w:rPr>
        <w:t>）</w:t>
      </w:r>
      <w:r>
        <w:rPr>
          <w:rFonts w:hint="eastAsia" w:ascii="Times New Roman" w:hAnsi="Times New Roman"/>
          <w:bCs/>
          <w:sz w:val="24"/>
          <w:highlight w:val="none"/>
        </w:rPr>
        <w:t>供应商须提供由厂商直属的售后服务团队或具有原厂授权的售后服务团队或具有原厂认证证书（原厂培训合格证书）的售后服务团队进行售后服务。（提供承诺书并加盖供应商公章）。</w:t>
      </w:r>
    </w:p>
    <w:p w14:paraId="4B85D833">
      <w:pPr>
        <w:numPr>
          <w:ilvl w:val="255"/>
          <w:numId w:val="0"/>
        </w:numPr>
        <w:snapToGrid w:val="0"/>
        <w:spacing w:line="360" w:lineRule="auto"/>
        <w:ind w:firstLine="240" w:firstLineChars="100"/>
        <w:rPr>
          <w:rFonts w:hint="eastAsia" w:ascii="宋体" w:hAnsi="宋体" w:cs="宋体"/>
          <w:sz w:val="24"/>
          <w:szCs w:val="24"/>
          <w:highlight w:val="none"/>
          <w:lang w:bidi="ar"/>
        </w:rPr>
      </w:pPr>
      <w:r>
        <w:rPr>
          <w:rFonts w:hint="eastAsia" w:ascii="宋体" w:hAnsi="宋体" w:cs="宋体"/>
          <w:sz w:val="24"/>
          <w:szCs w:val="24"/>
          <w:highlight w:val="none"/>
          <w:lang w:bidi="ar"/>
        </w:rPr>
        <w:t>6）供应商将对货物出现的非人为安全问题，尤其是X射线辐射安全问题，负责处理解决并承担一切费用，无论该设备是否在质保范围内</w:t>
      </w:r>
      <w:r>
        <w:rPr>
          <w:rFonts w:hint="eastAsia" w:ascii="Times New Roman" w:hAnsi="Times New Roman"/>
          <w:bCs/>
          <w:sz w:val="24"/>
          <w:highlight w:val="none"/>
        </w:rPr>
        <w:t>（提供承诺书并加盖供应商公章）</w:t>
      </w:r>
      <w:r>
        <w:rPr>
          <w:rFonts w:hint="eastAsia" w:ascii="宋体" w:hAnsi="宋体" w:cs="宋体"/>
          <w:sz w:val="24"/>
          <w:szCs w:val="24"/>
          <w:highlight w:val="none"/>
          <w:lang w:bidi="ar"/>
        </w:rPr>
        <w:t>。</w:t>
      </w:r>
    </w:p>
    <w:p w14:paraId="68C3FEE8">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技术培训</w:t>
      </w:r>
    </w:p>
    <w:p w14:paraId="4216F714">
      <w:pPr>
        <w:snapToGrid w:val="0"/>
        <w:spacing w:line="360" w:lineRule="auto"/>
        <w:ind w:firstLine="480" w:firstLineChars="200"/>
        <w:textAlignment w:val="baseline"/>
        <w:rPr>
          <w:rFonts w:hint="eastAsia" w:ascii="宋体" w:hAnsi="宋体" w:cs="宋体"/>
          <w:sz w:val="24"/>
          <w:szCs w:val="24"/>
          <w:highlight w:val="none"/>
          <w:lang w:bidi="ar"/>
        </w:rPr>
      </w:pPr>
      <w:r>
        <w:rPr>
          <w:rFonts w:ascii="宋体" w:hAnsi="宋体" w:cs="宋体"/>
          <w:sz w:val="24"/>
          <w:szCs w:val="24"/>
          <w:highlight w:val="none"/>
          <w:lang w:bidi="ar"/>
        </w:rPr>
        <w:t>免费提供现场操作培训</w:t>
      </w:r>
      <w:r>
        <w:rPr>
          <w:rFonts w:hint="eastAsia" w:ascii="宋体" w:hAnsi="宋体" w:cs="宋体"/>
          <w:sz w:val="24"/>
          <w:szCs w:val="24"/>
          <w:highlight w:val="none"/>
          <w:lang w:bidi="ar"/>
        </w:rPr>
        <w:t>，包括使用操作、维修、保养等，参加人数不限，</w:t>
      </w:r>
      <w:r>
        <w:rPr>
          <w:rFonts w:ascii="宋体" w:hAnsi="宋体" w:cs="宋体"/>
          <w:sz w:val="24"/>
          <w:szCs w:val="24"/>
          <w:highlight w:val="none"/>
          <w:lang w:bidi="ar"/>
        </w:rPr>
        <w:t>直至</w:t>
      </w:r>
      <w:r>
        <w:rPr>
          <w:rFonts w:hint="eastAsia" w:ascii="宋体" w:hAnsi="宋体" w:cs="宋体"/>
          <w:sz w:val="24"/>
          <w:szCs w:val="24"/>
          <w:highlight w:val="none"/>
          <w:lang w:bidi="ar"/>
        </w:rPr>
        <w:t>采购人</w:t>
      </w:r>
      <w:r>
        <w:rPr>
          <w:rFonts w:ascii="宋体" w:hAnsi="宋体" w:cs="宋体"/>
          <w:sz w:val="24"/>
          <w:szCs w:val="24"/>
          <w:highlight w:val="none"/>
          <w:lang w:bidi="ar"/>
        </w:rPr>
        <w:t>完全掌握设备使用，提供有关的全套技术文件。免费提供应用技术培训</w:t>
      </w:r>
      <w:r>
        <w:rPr>
          <w:rFonts w:hint="eastAsia" w:ascii="宋体" w:hAnsi="宋体" w:cs="宋体"/>
          <w:sz w:val="24"/>
          <w:szCs w:val="24"/>
          <w:highlight w:val="none"/>
          <w:lang w:bidi="ar"/>
        </w:rPr>
        <w:t>不少于2次</w:t>
      </w:r>
      <w:r>
        <w:rPr>
          <w:rFonts w:ascii="宋体" w:hAnsi="宋体" w:cs="宋体"/>
          <w:sz w:val="24"/>
          <w:szCs w:val="24"/>
          <w:highlight w:val="none"/>
          <w:lang w:bidi="ar"/>
        </w:rPr>
        <w:t>，</w:t>
      </w:r>
      <w:r>
        <w:rPr>
          <w:rFonts w:hint="eastAsia" w:ascii="宋体" w:hAnsi="宋体" w:cs="宋体"/>
          <w:sz w:val="24"/>
          <w:szCs w:val="24"/>
          <w:highlight w:val="none"/>
          <w:lang w:bidi="ar"/>
        </w:rPr>
        <w:t>每次不少于2天，其中1次在</w:t>
      </w:r>
      <w:r>
        <w:rPr>
          <w:rFonts w:ascii="宋体" w:hAnsi="宋体" w:cs="宋体"/>
          <w:sz w:val="24"/>
          <w:szCs w:val="24"/>
          <w:highlight w:val="none"/>
          <w:lang w:bidi="ar"/>
        </w:rPr>
        <w:t>仪器验收合格后一年内使用，</w:t>
      </w:r>
      <w:r>
        <w:rPr>
          <w:rFonts w:hint="eastAsia" w:ascii="宋体" w:hAnsi="宋体" w:cs="宋体"/>
          <w:sz w:val="24"/>
          <w:szCs w:val="24"/>
          <w:highlight w:val="none"/>
          <w:lang w:bidi="ar"/>
        </w:rPr>
        <w:t>1次在</w:t>
      </w:r>
      <w:r>
        <w:rPr>
          <w:rFonts w:ascii="宋体" w:hAnsi="宋体" w:cs="宋体"/>
          <w:sz w:val="24"/>
          <w:szCs w:val="24"/>
          <w:highlight w:val="none"/>
          <w:lang w:bidi="ar"/>
        </w:rPr>
        <w:t>仪器验收合格后一年以后根据用户实际情况选择相应时间使用。</w:t>
      </w:r>
    </w:p>
    <w:p w14:paraId="06118A38">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知识产权的归属和处理方式</w:t>
      </w:r>
    </w:p>
    <w:p w14:paraId="69F0328D">
      <w:pPr>
        <w:adjustRightInd w:val="0"/>
        <w:snapToGrid w:val="0"/>
        <w:spacing w:line="360" w:lineRule="auto"/>
        <w:ind w:firstLine="480" w:firstLineChars="200"/>
        <w:rPr>
          <w:rFonts w:hint="eastAsia" w:ascii="宋体" w:hAnsi="宋体" w:cs="宋体"/>
          <w:sz w:val="24"/>
          <w:szCs w:val="24"/>
          <w:highlight w:val="none"/>
          <w:lang w:bidi="ar"/>
        </w:rPr>
      </w:pPr>
      <w:r>
        <w:rPr>
          <w:rFonts w:hint="eastAsia" w:ascii="宋体" w:hAnsi="宋体" w:cs="宋体"/>
          <w:sz w:val="24"/>
          <w:szCs w:val="24"/>
          <w:highlight w:val="none"/>
        </w:rPr>
        <w:t>成交供应商为执行本项目而提供的设备、技术资料、软件的使用权归采购人所有，该使用权不受时间限制。成交供应商应保证，采购人在中华人民共和国使用该货物或货物的任何一部分时，免受第三方提出的侵犯其专利权、商标权或其他知识产权的指控。如发生此类纠纷，由成交供应商承担一切责任，并赔偿采购人因此遭受的一切损失。采购人无法继续使用该设备或设备使用限制超过本项目约定范围的，成交供应商应当退还全部或部分已付金额。</w:t>
      </w:r>
    </w:p>
    <w:p w14:paraId="3ED02B82">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支付方式</w:t>
      </w:r>
    </w:p>
    <w:p w14:paraId="5321DD5D">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5.1如为国产设备：</w:t>
      </w:r>
      <w:r>
        <w:rPr>
          <w:rFonts w:hint="eastAsia" w:ascii="宋体" w:hAnsi="宋体" w:cs="宋体"/>
          <w:bCs/>
          <w:sz w:val="24"/>
          <w:szCs w:val="24"/>
          <w:highlight w:val="none"/>
        </w:rPr>
        <w:t>验收合格后30日内支付合同总价的100%，付款金额不计利息。</w:t>
      </w:r>
    </w:p>
    <w:p w14:paraId="55360908">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若产品存在质量问题，则不受该付款条件约束，应按照合同条款其他要求以及《中华人民共和国民法典》有关规定执行。</w:t>
      </w:r>
    </w:p>
    <w:p w14:paraId="1505665A">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5.2如为进口设备：采购人通过受其委托的外贸公司付款，以开具100%不可撤销信用证（L/C）方式进行支付。</w:t>
      </w:r>
    </w:p>
    <w:p w14:paraId="0B345A7F">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72807EC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t>若产品存在质量问题，则不受该付款条件约束，应按照合同条款其他要求以及《中华人民共和国民法典》有关规定执行。</w:t>
      </w:r>
    </w:p>
    <w:p w14:paraId="468C3417">
      <w:pPr>
        <w:numPr>
          <w:ilvl w:val="0"/>
          <w:numId w:val="57"/>
        </w:numPr>
        <w:snapToGrid w:val="0"/>
        <w:spacing w:line="360" w:lineRule="auto"/>
        <w:rPr>
          <w:rFonts w:hint="eastAsia" w:ascii="宋体" w:hAnsi="宋体" w:cs="宋体"/>
          <w:b/>
          <w:bCs/>
          <w:sz w:val="24"/>
          <w:szCs w:val="24"/>
          <w:highlight w:val="none"/>
          <w:lang w:bidi="ar"/>
        </w:rPr>
      </w:pPr>
      <w:r>
        <w:rPr>
          <w:rFonts w:hint="eastAsia" w:ascii="宋体" w:hAnsi="宋体" w:cs="宋体"/>
          <w:b/>
          <w:bCs/>
          <w:sz w:val="24"/>
          <w:szCs w:val="24"/>
          <w:highlight w:val="none"/>
          <w:lang w:bidi="ar"/>
        </w:rPr>
        <w:t>进校报备：</w:t>
      </w:r>
    </w:p>
    <w:p w14:paraId="0BB73F2F">
      <w:pPr>
        <w:snapToGrid w:val="0"/>
        <w:spacing w:line="360" w:lineRule="auto"/>
        <w:ind w:firstLine="480" w:firstLineChars="200"/>
        <w:jc w:val="left"/>
        <w:textAlignment w:val="baseline"/>
        <w:rPr>
          <w:rFonts w:hint="eastAsia" w:ascii="宋体" w:hAnsi="宋体" w:cs="宋体"/>
          <w:sz w:val="24"/>
          <w:szCs w:val="24"/>
          <w:highlight w:val="none"/>
          <w:lang w:bidi="ar"/>
        </w:rPr>
      </w:pPr>
      <w:r>
        <w:rPr>
          <w:rFonts w:hint="eastAsia" w:ascii="宋体" w:hAnsi="宋体" w:cs="宋体"/>
          <w:sz w:val="24"/>
          <w:szCs w:val="24"/>
          <w:highlight w:val="none"/>
          <w:lang w:bidi="ar"/>
        </w:rPr>
        <w:t>进校参加响应活动的人员，应提前2小时扫描下方二维码填写入校预约，审核通过后从南邮仙林校区南门（文苑路9号）入校。（进校二维码见下）</w:t>
      </w:r>
    </w:p>
    <w:p w14:paraId="0FFFA5F9">
      <w:pPr>
        <w:wordWrap w:val="0"/>
        <w:ind w:firstLine="480"/>
        <w:jc w:val="center"/>
        <w:rPr>
          <w:rFonts w:hint="eastAsia" w:ascii="宋体" w:hAnsi="宋体" w:cs="宋体"/>
          <w:szCs w:val="21"/>
          <w:highlight w:val="none"/>
        </w:rPr>
      </w:pPr>
    </w:p>
    <w:p w14:paraId="5D8F0843">
      <w:pPr>
        <w:wordWrap w:val="0"/>
        <w:ind w:firstLine="480"/>
        <w:jc w:val="center"/>
        <w:rPr>
          <w:rFonts w:hint="eastAsia" w:ascii="宋体" w:hAnsi="宋体" w:cs="宋体"/>
          <w:szCs w:val="21"/>
          <w:highlight w:val="none"/>
        </w:rPr>
      </w:pPr>
      <w:r>
        <w:rPr>
          <w:rFonts w:hint="eastAsia" w:ascii="宋体" w:hAnsi="宋体" w:cs="宋体"/>
          <w:szCs w:val="21"/>
          <w:highlight w:val="none"/>
        </w:rPr>
        <w:drawing>
          <wp:inline distT="0" distB="0" distL="114300" distR="114300">
            <wp:extent cx="3429000" cy="3429000"/>
            <wp:effectExtent l="0" t="0" r="0" b="0"/>
            <wp:docPr id="1" name="图片 1" descr="1655026b1a1f0cbc839dd1665ca87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655026b1a1f0cbc839dd1665ca87714"/>
                    <pic:cNvPicPr>
                      <a:picLocks noChangeAspect="1"/>
                    </pic:cNvPicPr>
                  </pic:nvPicPr>
                  <pic:blipFill>
                    <a:blip r:embed="rId6"/>
                    <a:stretch>
                      <a:fillRect/>
                    </a:stretch>
                  </pic:blipFill>
                  <pic:spPr>
                    <a:xfrm>
                      <a:off x="0" y="0"/>
                      <a:ext cx="3429000" cy="3429000"/>
                    </a:xfrm>
                    <a:prstGeom prst="rect">
                      <a:avLst/>
                    </a:prstGeom>
                    <a:noFill/>
                    <a:ln>
                      <a:noFill/>
                    </a:ln>
                  </pic:spPr>
                </pic:pic>
              </a:graphicData>
            </a:graphic>
          </wp:inline>
        </w:drawing>
      </w:r>
    </w:p>
    <w:p w14:paraId="533CE521">
      <w:pPr>
        <w:wordWrap w:val="0"/>
        <w:spacing w:line="400" w:lineRule="exact"/>
        <w:ind w:firstLine="480"/>
        <w:rPr>
          <w:rFonts w:hint="eastAsia" w:ascii="宋体" w:hAnsi="宋体" w:cs="宋体"/>
          <w:bCs/>
          <w:szCs w:val="21"/>
          <w:highlight w:val="none"/>
        </w:rPr>
      </w:pPr>
    </w:p>
    <w:p w14:paraId="622F0751">
      <w:pPr>
        <w:snapToGrid w:val="0"/>
        <w:spacing w:line="360" w:lineRule="auto"/>
        <w:ind w:firstLine="562" w:firstLineChars="200"/>
        <w:jc w:val="left"/>
        <w:textAlignment w:val="baseline"/>
        <w:rPr>
          <w:rFonts w:hint="eastAsia" w:ascii="宋体" w:hAnsi="宋体" w:cs="宋体"/>
          <w:sz w:val="24"/>
          <w:szCs w:val="24"/>
          <w:highlight w:val="none"/>
          <w:lang w:bidi="ar"/>
        </w:rPr>
      </w:pPr>
      <w:r>
        <w:rPr>
          <w:rFonts w:hint="eastAsia" w:ascii="宋体" w:hAnsi="宋体" w:cs="宋体"/>
          <w:b/>
          <w:sz w:val="28"/>
          <w:szCs w:val="28"/>
          <w:highlight w:val="none"/>
        </w:rPr>
        <w:t>请务必预留充足时间，如不能在截止时间前递交响应文件，后果自行承担。</w:t>
      </w:r>
    </w:p>
    <w:p w14:paraId="41389095">
      <w:pPr>
        <w:pBdr>
          <w:top w:val="none" w:color="000000" w:sz="0" w:space="0"/>
          <w:left w:val="none" w:color="000000" w:sz="0" w:space="0"/>
          <w:bottom w:val="none" w:color="000000" w:sz="0" w:space="0"/>
          <w:right w:val="none" w:color="000000" w:sz="0" w:space="0"/>
        </w:pBdr>
        <w:spacing w:line="360" w:lineRule="auto"/>
        <w:ind w:firstLine="480" w:firstLineChars="200"/>
        <w:rPr>
          <w:rFonts w:hint="eastAsia" w:ascii="宋体" w:hAnsi="宋体" w:cs="宋体"/>
          <w:sz w:val="24"/>
          <w:szCs w:val="24"/>
          <w:highlight w:val="none"/>
        </w:rPr>
      </w:pPr>
      <w:r>
        <w:rPr>
          <w:rFonts w:hint="eastAsia" w:ascii="宋体" w:hAnsi="宋体" w:cs="宋体"/>
          <w:sz w:val="24"/>
          <w:szCs w:val="24"/>
          <w:highlight w:val="none"/>
        </w:rPr>
        <w:br w:type="page"/>
      </w:r>
    </w:p>
    <w:p w14:paraId="320F7C05">
      <w:pPr>
        <w:pStyle w:val="266"/>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第五章  合同主要条款及格式</w:t>
      </w:r>
    </w:p>
    <w:p w14:paraId="1715A822">
      <w:pPr>
        <w:pStyle w:val="17"/>
        <w:spacing w:line="360" w:lineRule="auto"/>
        <w:ind w:firstLine="480"/>
        <w:rPr>
          <w:color w:val="000000" w:themeColor="text1"/>
          <w:highlight w:val="none"/>
          <w14:textFill>
            <w14:solidFill>
              <w14:schemeClr w14:val="tx1"/>
            </w14:solidFill>
          </w14:textFill>
        </w:rPr>
      </w:pPr>
      <w:bookmarkStart w:id="8" w:name="_Toc20823315"/>
      <w:bookmarkStart w:id="9" w:name="_Toc16938559"/>
      <w:bookmarkStart w:id="10" w:name="_Toc513029243"/>
      <w:r>
        <w:rPr>
          <w:color w:val="000000" w:themeColor="text1"/>
          <w:highlight w:val="none"/>
          <w14:textFill>
            <w14:solidFill>
              <w14:schemeClr w14:val="tx1"/>
            </w14:solidFill>
          </w14:textFill>
        </w:rPr>
        <w:t>以下为成交后签订本项目合同的通用条款，成交人不得提出实质性的修改，关于专用条款将由采购人与成交人结合本项目具体情况协商后签订。</w:t>
      </w:r>
    </w:p>
    <w:bookmarkEnd w:id="8"/>
    <w:bookmarkEnd w:id="9"/>
    <w:bookmarkEnd w:id="10"/>
    <w:p w14:paraId="34DFCB70">
      <w:pPr>
        <w:widowControl/>
        <w:snapToGrid w:val="0"/>
        <w:spacing w:before="19"/>
        <w:ind w:left="-358" w:leftChars="-255" w:right="-334" w:rightChars="-159" w:hanging="177" w:hangingChars="49"/>
        <w:jc w:val="center"/>
        <w:rPr>
          <w:rFonts w:ascii="Times New Roman" w:hAnsi="Times New Roman" w:eastAsia="仿宋_GB2312"/>
          <w:b/>
          <w:sz w:val="36"/>
          <w:highlight w:val="none"/>
        </w:rPr>
      </w:pPr>
      <w:bookmarkStart w:id="11" w:name="_Hlt16619369"/>
      <w:bookmarkEnd w:id="11"/>
      <w:r>
        <w:rPr>
          <w:rFonts w:ascii="Times New Roman" w:hAnsi="Times New Roman" w:eastAsia="仿宋_GB2312"/>
          <w:b/>
          <w:sz w:val="36"/>
          <w:highlight w:val="none"/>
        </w:rPr>
        <w:t>南京邮电大学采购合同</w:t>
      </w:r>
    </w:p>
    <w:p w14:paraId="088C4C2D">
      <w:pPr>
        <w:wordWrap w:val="0"/>
        <w:spacing w:line="240" w:lineRule="atLeast"/>
        <w:rPr>
          <w:rFonts w:ascii="Times New Roman" w:hAnsi="Times New Roman"/>
          <w:sz w:val="24"/>
          <w:highlight w:val="none"/>
        </w:rPr>
      </w:pPr>
      <w:r>
        <w:rPr>
          <w:rFonts w:ascii="Times New Roman" w:hAnsi="Times New Roman"/>
          <w:sz w:val="24"/>
          <w:highlight w:val="none"/>
        </w:rPr>
        <w:t>甲方：南京邮电大学                             签订地点：南京邮电大学</w:t>
      </w:r>
    </w:p>
    <w:p w14:paraId="09530E94">
      <w:pPr>
        <w:widowControl/>
        <w:snapToGrid w:val="0"/>
        <w:spacing w:before="19"/>
        <w:rPr>
          <w:rFonts w:ascii="Times New Roman" w:hAnsi="Times New Roman"/>
          <w:sz w:val="24"/>
          <w:highlight w:val="none"/>
        </w:rPr>
      </w:pPr>
      <w:r>
        <w:rPr>
          <w:rFonts w:ascii="Times New Roman" w:hAnsi="Times New Roman"/>
          <w:sz w:val="24"/>
          <w:highlight w:val="none"/>
        </w:rPr>
        <w:t xml:space="preserve">乙方：                                          </w:t>
      </w:r>
    </w:p>
    <w:p w14:paraId="5262E808">
      <w:pPr>
        <w:widowControl/>
        <w:snapToGrid w:val="0"/>
        <w:spacing w:before="19"/>
        <w:rPr>
          <w:rFonts w:ascii="Times New Roman" w:hAnsi="Times New Roman"/>
          <w:sz w:val="24"/>
          <w:highlight w:val="none"/>
        </w:rPr>
      </w:pPr>
      <w:r>
        <w:rPr>
          <w:rFonts w:ascii="Times New Roman" w:hAnsi="Times New Roman"/>
          <w:sz w:val="24"/>
          <w:highlight w:val="none"/>
        </w:rPr>
        <w:t xml:space="preserve">    甲乙双方根据</w:t>
      </w:r>
      <w:r>
        <w:rPr>
          <w:rFonts w:ascii="Times New Roman" w:hAnsi="Times New Roman"/>
          <w:sz w:val="24"/>
          <w:highlight w:val="none"/>
          <w:u w:val="single"/>
        </w:rPr>
        <w:t xml:space="preserve">                  </w:t>
      </w:r>
      <w:r>
        <w:rPr>
          <w:rFonts w:ascii="Times New Roman" w:hAnsi="Times New Roman"/>
          <w:sz w:val="24"/>
          <w:highlight w:val="none"/>
        </w:rPr>
        <w:t>项目采购结果,依据《中华人民共和国民法典》合同编及相关法律规定，达成如下货物购销合同:</w:t>
      </w:r>
    </w:p>
    <w:p w14:paraId="376C5173">
      <w:pPr>
        <w:widowControl/>
        <w:snapToGrid w:val="0"/>
        <w:spacing w:before="19"/>
        <w:rPr>
          <w:rFonts w:ascii="Times New Roman" w:hAnsi="Times New Roman"/>
          <w:sz w:val="24"/>
          <w:highlight w:val="none"/>
        </w:rPr>
      </w:pPr>
      <w:r>
        <w:rPr>
          <w:rFonts w:ascii="Times New Roman" w:hAnsi="Times New Roman"/>
          <w:sz w:val="24"/>
          <w:highlight w:val="none"/>
        </w:rPr>
        <w:t>一、货物及其数量、金额：</w:t>
      </w:r>
    </w:p>
    <w:tbl>
      <w:tblPr>
        <w:tblStyle w:val="45"/>
        <w:tblW w:w="9720" w:type="dxa"/>
        <w:tblInd w:w="-432" w:type="dxa"/>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260"/>
        <w:gridCol w:w="4320"/>
        <w:gridCol w:w="1080"/>
        <w:gridCol w:w="1080"/>
        <w:gridCol w:w="1260"/>
      </w:tblGrid>
      <w:tr w14:paraId="63C85975">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32" w:hRule="atLeast"/>
        </w:trPr>
        <w:tc>
          <w:tcPr>
            <w:tcW w:w="720" w:type="dxa"/>
            <w:tcBorders>
              <w:top w:val="single" w:color="auto" w:sz="18" w:space="0"/>
              <w:bottom w:val="single" w:color="auto" w:sz="18" w:space="0"/>
            </w:tcBorders>
            <w:shd w:val="pct10" w:color="auto" w:fill="FFFFFF"/>
            <w:vAlign w:val="center"/>
          </w:tcPr>
          <w:p w14:paraId="517D7AC0">
            <w:pPr>
              <w:snapToGrid w:val="0"/>
              <w:spacing w:line="240" w:lineRule="atLeast"/>
              <w:jc w:val="center"/>
              <w:rPr>
                <w:rFonts w:ascii="Times New Roman" w:hAnsi="Times New Roman" w:eastAsia="楷体_GB2312"/>
                <w:b/>
                <w:sz w:val="24"/>
                <w:highlight w:val="none"/>
              </w:rPr>
            </w:pPr>
            <w:r>
              <w:rPr>
                <w:rFonts w:ascii="Times New Roman" w:hAnsi="Times New Roman" w:eastAsia="楷体_GB2312"/>
                <w:b/>
                <w:sz w:val="24"/>
                <w:highlight w:val="none"/>
              </w:rPr>
              <w:t>编号</w:t>
            </w:r>
          </w:p>
        </w:tc>
        <w:tc>
          <w:tcPr>
            <w:tcW w:w="1260" w:type="dxa"/>
            <w:tcBorders>
              <w:top w:val="single" w:color="auto" w:sz="18" w:space="0"/>
              <w:bottom w:val="single" w:color="auto" w:sz="18" w:space="0"/>
            </w:tcBorders>
            <w:shd w:val="pct10" w:color="auto" w:fill="FFFFFF"/>
            <w:vAlign w:val="center"/>
          </w:tcPr>
          <w:p w14:paraId="55DAE6A6">
            <w:pPr>
              <w:snapToGrid w:val="0"/>
              <w:spacing w:line="240" w:lineRule="atLeast"/>
              <w:jc w:val="center"/>
              <w:rPr>
                <w:rFonts w:ascii="Times New Roman" w:hAnsi="Times New Roman" w:eastAsia="楷体_GB2312"/>
                <w:b/>
                <w:sz w:val="24"/>
                <w:highlight w:val="none"/>
              </w:rPr>
            </w:pPr>
            <w:r>
              <w:rPr>
                <w:rFonts w:ascii="Times New Roman" w:hAnsi="Times New Roman" w:eastAsia="楷体_GB2312"/>
                <w:b/>
                <w:sz w:val="24"/>
                <w:highlight w:val="none"/>
              </w:rPr>
              <w:t>货物名称</w:t>
            </w:r>
          </w:p>
        </w:tc>
        <w:tc>
          <w:tcPr>
            <w:tcW w:w="4320" w:type="dxa"/>
            <w:tcBorders>
              <w:top w:val="single" w:color="auto" w:sz="18" w:space="0"/>
              <w:bottom w:val="single" w:color="auto" w:sz="18" w:space="0"/>
            </w:tcBorders>
            <w:shd w:val="pct10" w:color="auto" w:fill="FFFFFF"/>
            <w:vAlign w:val="center"/>
          </w:tcPr>
          <w:p w14:paraId="49CF5269">
            <w:pPr>
              <w:snapToGrid w:val="0"/>
              <w:spacing w:line="240" w:lineRule="atLeast"/>
              <w:jc w:val="center"/>
              <w:rPr>
                <w:rFonts w:ascii="Times New Roman" w:hAnsi="Times New Roman" w:eastAsia="楷体_GB2312"/>
                <w:b/>
                <w:sz w:val="24"/>
                <w:highlight w:val="none"/>
              </w:rPr>
            </w:pPr>
            <w:r>
              <w:rPr>
                <w:rFonts w:ascii="Times New Roman" w:hAnsi="Times New Roman" w:eastAsia="楷体_GB2312"/>
                <w:b/>
                <w:sz w:val="24"/>
                <w:highlight w:val="none"/>
              </w:rPr>
              <w:t>规 格 型 号（品牌）</w:t>
            </w:r>
          </w:p>
        </w:tc>
        <w:tc>
          <w:tcPr>
            <w:tcW w:w="1080" w:type="dxa"/>
            <w:tcBorders>
              <w:top w:val="single" w:color="auto" w:sz="18" w:space="0"/>
              <w:bottom w:val="single" w:color="auto" w:sz="18" w:space="0"/>
            </w:tcBorders>
            <w:shd w:val="pct10" w:color="auto" w:fill="FFFFFF"/>
            <w:vAlign w:val="center"/>
          </w:tcPr>
          <w:p w14:paraId="31995366">
            <w:pPr>
              <w:snapToGrid w:val="0"/>
              <w:spacing w:line="240" w:lineRule="atLeast"/>
              <w:jc w:val="center"/>
              <w:rPr>
                <w:rFonts w:ascii="Times New Roman" w:hAnsi="Times New Roman" w:eastAsia="楷体_GB2312"/>
                <w:b/>
                <w:sz w:val="24"/>
                <w:highlight w:val="none"/>
              </w:rPr>
            </w:pPr>
            <w:r>
              <w:rPr>
                <w:rFonts w:ascii="Times New Roman" w:hAnsi="Times New Roman" w:eastAsia="楷体_GB2312"/>
                <w:b/>
                <w:sz w:val="24"/>
                <w:highlight w:val="none"/>
              </w:rPr>
              <w:t>数量</w:t>
            </w:r>
          </w:p>
        </w:tc>
        <w:tc>
          <w:tcPr>
            <w:tcW w:w="1080" w:type="dxa"/>
            <w:tcBorders>
              <w:top w:val="single" w:color="auto" w:sz="18" w:space="0"/>
              <w:bottom w:val="single" w:color="auto" w:sz="18" w:space="0"/>
              <w:right w:val="single" w:color="auto" w:sz="4" w:space="0"/>
            </w:tcBorders>
            <w:shd w:val="pct10" w:color="auto" w:fill="FFFFFF"/>
            <w:vAlign w:val="center"/>
          </w:tcPr>
          <w:p w14:paraId="62212DF2">
            <w:pPr>
              <w:snapToGrid w:val="0"/>
              <w:spacing w:line="240" w:lineRule="atLeast"/>
              <w:jc w:val="center"/>
              <w:rPr>
                <w:rFonts w:ascii="Times New Roman" w:hAnsi="Times New Roman" w:eastAsia="楷体_GB2312"/>
                <w:b/>
                <w:sz w:val="24"/>
                <w:highlight w:val="none"/>
              </w:rPr>
            </w:pPr>
            <w:r>
              <w:rPr>
                <w:rFonts w:ascii="Times New Roman" w:hAnsi="Times New Roman" w:eastAsia="楷体_GB2312"/>
                <w:b/>
                <w:sz w:val="24"/>
                <w:highlight w:val="none"/>
              </w:rPr>
              <w:t>单价（元）</w:t>
            </w:r>
          </w:p>
        </w:tc>
        <w:tc>
          <w:tcPr>
            <w:tcW w:w="1260" w:type="dxa"/>
            <w:tcBorders>
              <w:top w:val="single" w:color="auto" w:sz="18" w:space="0"/>
              <w:bottom w:val="single" w:color="auto" w:sz="18" w:space="0"/>
              <w:right w:val="single" w:color="auto" w:sz="4" w:space="0"/>
            </w:tcBorders>
            <w:shd w:val="pct10" w:color="auto" w:fill="FFFFFF"/>
            <w:vAlign w:val="center"/>
          </w:tcPr>
          <w:p w14:paraId="2DEC781A">
            <w:pPr>
              <w:widowControl/>
              <w:jc w:val="left"/>
              <w:rPr>
                <w:rFonts w:ascii="Times New Roman" w:hAnsi="Times New Roman" w:eastAsia="楷体_GB2312"/>
                <w:b/>
                <w:sz w:val="24"/>
                <w:highlight w:val="none"/>
              </w:rPr>
            </w:pPr>
            <w:r>
              <w:rPr>
                <w:rFonts w:ascii="Times New Roman" w:hAnsi="Times New Roman" w:eastAsia="楷体_GB2312"/>
                <w:b/>
                <w:sz w:val="24"/>
                <w:highlight w:val="none"/>
              </w:rPr>
              <w:t>总价（元）</w:t>
            </w:r>
          </w:p>
        </w:tc>
      </w:tr>
      <w:tr w14:paraId="32957451">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677" w:hRule="atLeast"/>
        </w:trPr>
        <w:tc>
          <w:tcPr>
            <w:tcW w:w="720" w:type="dxa"/>
            <w:tcBorders>
              <w:top w:val="nil"/>
              <w:bottom w:val="single" w:color="auto" w:sz="4" w:space="0"/>
            </w:tcBorders>
            <w:vAlign w:val="center"/>
          </w:tcPr>
          <w:p w14:paraId="181CB972">
            <w:pPr>
              <w:snapToGrid w:val="0"/>
              <w:spacing w:line="600" w:lineRule="atLeast"/>
              <w:rPr>
                <w:rFonts w:ascii="Times New Roman" w:hAnsi="Times New Roman"/>
                <w:b/>
                <w:sz w:val="24"/>
                <w:highlight w:val="none"/>
              </w:rPr>
            </w:pPr>
            <w:r>
              <w:rPr>
                <w:rFonts w:ascii="Times New Roman" w:hAnsi="Times New Roman"/>
                <w:b/>
                <w:sz w:val="24"/>
                <w:highlight w:val="none"/>
              </w:rPr>
              <w:t>1</w:t>
            </w:r>
          </w:p>
        </w:tc>
        <w:tc>
          <w:tcPr>
            <w:tcW w:w="1260" w:type="dxa"/>
            <w:tcBorders>
              <w:top w:val="nil"/>
              <w:bottom w:val="single" w:color="auto" w:sz="4" w:space="0"/>
            </w:tcBorders>
            <w:vAlign w:val="center"/>
          </w:tcPr>
          <w:p w14:paraId="2102F906">
            <w:pPr>
              <w:snapToGrid w:val="0"/>
              <w:spacing w:line="600" w:lineRule="atLeast"/>
              <w:jc w:val="center"/>
              <w:rPr>
                <w:rFonts w:ascii="Times New Roman" w:hAnsi="Times New Roman"/>
                <w:highlight w:val="none"/>
              </w:rPr>
            </w:pPr>
          </w:p>
        </w:tc>
        <w:tc>
          <w:tcPr>
            <w:tcW w:w="4320" w:type="dxa"/>
            <w:tcBorders>
              <w:top w:val="nil"/>
              <w:bottom w:val="single" w:color="auto" w:sz="4" w:space="0"/>
            </w:tcBorders>
            <w:vAlign w:val="center"/>
          </w:tcPr>
          <w:p w14:paraId="0A180DE9">
            <w:pPr>
              <w:spacing w:line="360" w:lineRule="auto"/>
              <w:rPr>
                <w:rFonts w:ascii="Times New Roman" w:hAnsi="Times New Roman"/>
                <w:color w:val="000000"/>
                <w:szCs w:val="21"/>
                <w:highlight w:val="none"/>
              </w:rPr>
            </w:pPr>
          </w:p>
        </w:tc>
        <w:tc>
          <w:tcPr>
            <w:tcW w:w="1080" w:type="dxa"/>
            <w:tcBorders>
              <w:top w:val="nil"/>
              <w:bottom w:val="single" w:color="auto" w:sz="4" w:space="0"/>
            </w:tcBorders>
            <w:vAlign w:val="center"/>
          </w:tcPr>
          <w:p w14:paraId="57DA55FF">
            <w:pPr>
              <w:snapToGrid w:val="0"/>
              <w:spacing w:line="600" w:lineRule="atLeast"/>
              <w:ind w:firstLine="118" w:firstLineChars="49"/>
              <w:rPr>
                <w:rFonts w:ascii="Times New Roman" w:hAnsi="Times New Roman"/>
                <w:b/>
                <w:sz w:val="24"/>
                <w:highlight w:val="none"/>
              </w:rPr>
            </w:pPr>
          </w:p>
        </w:tc>
        <w:tc>
          <w:tcPr>
            <w:tcW w:w="1080" w:type="dxa"/>
            <w:tcBorders>
              <w:top w:val="nil"/>
              <w:bottom w:val="single" w:color="auto" w:sz="4" w:space="0"/>
              <w:right w:val="single" w:color="auto" w:sz="4" w:space="0"/>
            </w:tcBorders>
            <w:vAlign w:val="center"/>
          </w:tcPr>
          <w:p w14:paraId="6E21F3DF">
            <w:pPr>
              <w:spacing w:line="240" w:lineRule="atLeast"/>
              <w:jc w:val="center"/>
              <w:rPr>
                <w:rFonts w:ascii="Times New Roman" w:hAnsi="Times New Roman"/>
                <w:b/>
                <w:highlight w:val="none"/>
              </w:rPr>
            </w:pPr>
          </w:p>
        </w:tc>
        <w:tc>
          <w:tcPr>
            <w:tcW w:w="1260" w:type="dxa"/>
            <w:tcBorders>
              <w:top w:val="nil"/>
              <w:bottom w:val="single" w:color="auto" w:sz="4" w:space="0"/>
              <w:right w:val="single" w:color="auto" w:sz="4" w:space="0"/>
            </w:tcBorders>
            <w:vAlign w:val="center"/>
          </w:tcPr>
          <w:p w14:paraId="2795A2DB">
            <w:pPr>
              <w:spacing w:line="360" w:lineRule="auto"/>
              <w:rPr>
                <w:rFonts w:ascii="Times New Roman" w:hAnsi="Times New Roman"/>
                <w:highlight w:val="none"/>
              </w:rPr>
            </w:pPr>
          </w:p>
        </w:tc>
      </w:tr>
      <w:tr w14:paraId="41AF003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2A9C0937">
            <w:pPr>
              <w:snapToGrid w:val="0"/>
              <w:spacing w:line="600" w:lineRule="atLeast"/>
              <w:rPr>
                <w:rFonts w:ascii="Times New Roman" w:hAnsi="Times New Roman"/>
                <w:b/>
                <w:sz w:val="24"/>
                <w:highlight w:val="none"/>
              </w:rPr>
            </w:pPr>
            <w:r>
              <w:rPr>
                <w:rFonts w:ascii="Times New Roman" w:hAnsi="Times New Roman"/>
                <w:b/>
                <w:sz w:val="24"/>
                <w:highlight w:val="none"/>
              </w:rPr>
              <w:t>2</w:t>
            </w:r>
          </w:p>
        </w:tc>
        <w:tc>
          <w:tcPr>
            <w:tcW w:w="1260" w:type="dxa"/>
            <w:tcBorders>
              <w:top w:val="single" w:color="auto" w:sz="4" w:space="0"/>
              <w:bottom w:val="single" w:color="auto" w:sz="4" w:space="0"/>
            </w:tcBorders>
            <w:vAlign w:val="center"/>
          </w:tcPr>
          <w:p w14:paraId="3F1A48E4">
            <w:pPr>
              <w:snapToGrid w:val="0"/>
              <w:spacing w:line="600" w:lineRule="atLeast"/>
              <w:jc w:val="center"/>
              <w:rPr>
                <w:rFonts w:ascii="Times New Roman" w:hAnsi="Times New Roman"/>
                <w:highlight w:val="none"/>
              </w:rPr>
            </w:pPr>
          </w:p>
        </w:tc>
        <w:tc>
          <w:tcPr>
            <w:tcW w:w="4320" w:type="dxa"/>
            <w:tcBorders>
              <w:top w:val="single" w:color="auto" w:sz="4" w:space="0"/>
              <w:bottom w:val="single" w:color="auto" w:sz="4" w:space="0"/>
            </w:tcBorders>
            <w:vAlign w:val="center"/>
          </w:tcPr>
          <w:p w14:paraId="6E6B185C">
            <w:pPr>
              <w:spacing w:line="360" w:lineRule="auto"/>
              <w:rPr>
                <w:rFonts w:ascii="Times New Roman" w:hAnsi="Times New Roman"/>
                <w:b/>
                <w:sz w:val="18"/>
                <w:szCs w:val="18"/>
                <w:highlight w:val="none"/>
              </w:rPr>
            </w:pPr>
          </w:p>
        </w:tc>
        <w:tc>
          <w:tcPr>
            <w:tcW w:w="1080" w:type="dxa"/>
            <w:tcBorders>
              <w:top w:val="single" w:color="auto" w:sz="4" w:space="0"/>
              <w:bottom w:val="single" w:color="auto" w:sz="4" w:space="0"/>
            </w:tcBorders>
            <w:vAlign w:val="center"/>
          </w:tcPr>
          <w:p w14:paraId="1D9270D8">
            <w:pPr>
              <w:snapToGrid w:val="0"/>
              <w:spacing w:line="600" w:lineRule="atLeast"/>
              <w:ind w:firstLine="118" w:firstLineChars="49"/>
              <w:rPr>
                <w:rFonts w:ascii="Times New Roman" w:hAnsi="Times New Roman"/>
                <w:b/>
                <w:sz w:val="24"/>
                <w:highlight w:val="none"/>
              </w:rPr>
            </w:pPr>
          </w:p>
        </w:tc>
        <w:tc>
          <w:tcPr>
            <w:tcW w:w="1080" w:type="dxa"/>
            <w:tcBorders>
              <w:top w:val="single" w:color="auto" w:sz="4" w:space="0"/>
              <w:bottom w:val="single" w:color="auto" w:sz="4" w:space="0"/>
              <w:right w:val="single" w:color="auto" w:sz="4" w:space="0"/>
            </w:tcBorders>
            <w:vAlign w:val="center"/>
          </w:tcPr>
          <w:p w14:paraId="15FFC5D8">
            <w:pPr>
              <w:snapToGrid w:val="0"/>
              <w:spacing w:line="600" w:lineRule="atLeast"/>
              <w:ind w:firstLine="118" w:firstLineChars="49"/>
              <w:rPr>
                <w:rFonts w:ascii="Times New Roman" w:hAnsi="Times New Roman"/>
                <w:b/>
                <w:sz w:val="24"/>
                <w:highlight w:val="none"/>
              </w:rPr>
            </w:pPr>
          </w:p>
        </w:tc>
        <w:tc>
          <w:tcPr>
            <w:tcW w:w="1260" w:type="dxa"/>
            <w:tcBorders>
              <w:top w:val="single" w:color="auto" w:sz="4" w:space="0"/>
              <w:bottom w:val="single" w:color="auto" w:sz="4" w:space="0"/>
              <w:right w:val="single" w:color="auto" w:sz="4" w:space="0"/>
            </w:tcBorders>
            <w:vAlign w:val="center"/>
          </w:tcPr>
          <w:p w14:paraId="1055ABDD">
            <w:pPr>
              <w:spacing w:line="360" w:lineRule="auto"/>
              <w:rPr>
                <w:rFonts w:ascii="Times New Roman" w:hAnsi="Times New Roman"/>
                <w:highlight w:val="none"/>
              </w:rPr>
            </w:pPr>
          </w:p>
        </w:tc>
      </w:tr>
      <w:tr w14:paraId="435417EE">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720" w:type="dxa"/>
            <w:tcBorders>
              <w:top w:val="single" w:color="auto" w:sz="4" w:space="0"/>
              <w:bottom w:val="single" w:color="auto" w:sz="4" w:space="0"/>
            </w:tcBorders>
            <w:vAlign w:val="center"/>
          </w:tcPr>
          <w:p w14:paraId="71A75FDE">
            <w:pPr>
              <w:snapToGrid w:val="0"/>
              <w:spacing w:line="600" w:lineRule="atLeast"/>
              <w:rPr>
                <w:rFonts w:ascii="Times New Roman" w:hAnsi="Times New Roman"/>
                <w:b/>
                <w:sz w:val="24"/>
                <w:highlight w:val="none"/>
              </w:rPr>
            </w:pPr>
            <w:r>
              <w:rPr>
                <w:rFonts w:ascii="Times New Roman" w:hAnsi="Times New Roman"/>
                <w:b/>
                <w:sz w:val="24"/>
                <w:highlight w:val="none"/>
              </w:rPr>
              <w:t>3</w:t>
            </w:r>
          </w:p>
        </w:tc>
        <w:tc>
          <w:tcPr>
            <w:tcW w:w="1260" w:type="dxa"/>
            <w:tcBorders>
              <w:top w:val="single" w:color="auto" w:sz="4" w:space="0"/>
              <w:bottom w:val="single" w:color="auto" w:sz="4" w:space="0"/>
            </w:tcBorders>
            <w:vAlign w:val="center"/>
          </w:tcPr>
          <w:p w14:paraId="3D15C275">
            <w:pPr>
              <w:snapToGrid w:val="0"/>
              <w:spacing w:line="600" w:lineRule="atLeast"/>
              <w:jc w:val="center"/>
              <w:rPr>
                <w:rFonts w:ascii="Times New Roman" w:hAnsi="Times New Roman"/>
                <w:highlight w:val="none"/>
              </w:rPr>
            </w:pPr>
          </w:p>
        </w:tc>
        <w:tc>
          <w:tcPr>
            <w:tcW w:w="4320" w:type="dxa"/>
            <w:tcBorders>
              <w:top w:val="single" w:color="auto" w:sz="4" w:space="0"/>
              <w:bottom w:val="single" w:color="auto" w:sz="4" w:space="0"/>
            </w:tcBorders>
            <w:vAlign w:val="center"/>
          </w:tcPr>
          <w:p w14:paraId="06D1D142">
            <w:pPr>
              <w:spacing w:line="360" w:lineRule="auto"/>
              <w:rPr>
                <w:rFonts w:ascii="Times New Roman" w:hAnsi="Times New Roman"/>
                <w:b/>
                <w:sz w:val="18"/>
                <w:szCs w:val="18"/>
                <w:highlight w:val="none"/>
              </w:rPr>
            </w:pPr>
          </w:p>
        </w:tc>
        <w:tc>
          <w:tcPr>
            <w:tcW w:w="1080" w:type="dxa"/>
            <w:tcBorders>
              <w:top w:val="single" w:color="auto" w:sz="4" w:space="0"/>
              <w:bottom w:val="single" w:color="auto" w:sz="4" w:space="0"/>
            </w:tcBorders>
            <w:vAlign w:val="center"/>
          </w:tcPr>
          <w:p w14:paraId="3A5580C8">
            <w:pPr>
              <w:snapToGrid w:val="0"/>
              <w:spacing w:line="600" w:lineRule="atLeast"/>
              <w:ind w:firstLine="118" w:firstLineChars="49"/>
              <w:rPr>
                <w:rFonts w:ascii="Times New Roman" w:hAnsi="Times New Roman"/>
                <w:b/>
                <w:sz w:val="24"/>
                <w:highlight w:val="none"/>
              </w:rPr>
            </w:pPr>
          </w:p>
        </w:tc>
        <w:tc>
          <w:tcPr>
            <w:tcW w:w="1080" w:type="dxa"/>
            <w:tcBorders>
              <w:top w:val="single" w:color="auto" w:sz="4" w:space="0"/>
              <w:bottom w:val="single" w:color="auto" w:sz="4" w:space="0"/>
              <w:right w:val="single" w:color="auto" w:sz="4" w:space="0"/>
            </w:tcBorders>
            <w:vAlign w:val="center"/>
          </w:tcPr>
          <w:p w14:paraId="7D3A4E25">
            <w:pPr>
              <w:snapToGrid w:val="0"/>
              <w:spacing w:line="600" w:lineRule="atLeast"/>
              <w:ind w:firstLine="118" w:firstLineChars="49"/>
              <w:rPr>
                <w:rFonts w:ascii="Times New Roman" w:hAnsi="Times New Roman"/>
                <w:b/>
                <w:sz w:val="24"/>
                <w:highlight w:val="none"/>
              </w:rPr>
            </w:pPr>
          </w:p>
        </w:tc>
        <w:tc>
          <w:tcPr>
            <w:tcW w:w="1260" w:type="dxa"/>
            <w:tcBorders>
              <w:top w:val="single" w:color="auto" w:sz="4" w:space="0"/>
              <w:bottom w:val="single" w:color="auto" w:sz="4" w:space="0"/>
              <w:right w:val="single" w:color="auto" w:sz="4" w:space="0"/>
            </w:tcBorders>
            <w:vAlign w:val="center"/>
          </w:tcPr>
          <w:p w14:paraId="40D4EB4F">
            <w:pPr>
              <w:spacing w:line="360" w:lineRule="auto"/>
              <w:rPr>
                <w:rFonts w:ascii="Times New Roman" w:hAnsi="Times New Roman"/>
                <w:highlight w:val="none"/>
              </w:rPr>
            </w:pPr>
          </w:p>
        </w:tc>
      </w:tr>
      <w:tr w14:paraId="0B167002">
        <w:tblPrEx>
          <w:tblBorders>
            <w:top w:val="single" w:color="auto" w:sz="18" w:space="0"/>
            <w:left w:val="single" w:color="auto" w:sz="18" w:space="0"/>
            <w:bottom w:val="single" w:color="auto" w:sz="18" w:space="0"/>
            <w:right w:val="single" w:color="auto" w:sz="18" w:space="0"/>
            <w:insideH w:val="single" w:color="auto" w:sz="4" w:space="0"/>
            <w:insideV w:val="single" w:color="auto" w:sz="4" w:space="0"/>
          </w:tblBorders>
          <w:tblCellMar>
            <w:top w:w="0" w:type="dxa"/>
            <w:left w:w="108" w:type="dxa"/>
            <w:bottom w:w="0" w:type="dxa"/>
            <w:right w:w="108" w:type="dxa"/>
          </w:tblCellMar>
        </w:tblPrEx>
        <w:trPr>
          <w:cantSplit/>
          <w:trHeight w:val="495" w:hRule="atLeast"/>
        </w:trPr>
        <w:tc>
          <w:tcPr>
            <w:tcW w:w="9720" w:type="dxa"/>
            <w:gridSpan w:val="6"/>
            <w:tcBorders>
              <w:top w:val="single" w:color="auto" w:sz="4" w:space="0"/>
              <w:bottom w:val="single" w:color="auto" w:sz="4" w:space="0"/>
              <w:right w:val="single" w:color="auto" w:sz="4" w:space="0"/>
            </w:tcBorders>
            <w:vAlign w:val="center"/>
          </w:tcPr>
          <w:p w14:paraId="0C26E453">
            <w:pPr>
              <w:rPr>
                <w:rFonts w:ascii="Times New Roman" w:hAnsi="Times New Roman"/>
                <w:highlight w:val="none"/>
              </w:rPr>
            </w:pPr>
            <w:r>
              <w:rPr>
                <w:rFonts w:ascii="Times New Roman" w:hAnsi="Times New Roman"/>
                <w:b/>
                <w:sz w:val="18"/>
                <w:szCs w:val="18"/>
                <w:highlight w:val="none"/>
              </w:rPr>
              <w:t xml:space="preserve">总价（人民币大写）：                                     </w:t>
            </w:r>
            <w:r>
              <w:rPr>
                <w:rFonts w:ascii="Times New Roman" w:hAnsi="Times New Roman"/>
                <w:highlight w:val="none"/>
              </w:rPr>
              <w:t>合计（小写）：        元</w:t>
            </w:r>
          </w:p>
          <w:p w14:paraId="4B11F5FB">
            <w:pPr>
              <w:rPr>
                <w:rFonts w:ascii="Times New Roman" w:hAnsi="Times New Roman"/>
                <w:highlight w:val="none"/>
              </w:rPr>
            </w:pPr>
            <w:r>
              <w:rPr>
                <w:rFonts w:ascii="Times New Roman" w:hAnsi="Times New Roman"/>
                <w:sz w:val="18"/>
                <w:highlight w:val="none"/>
              </w:rPr>
              <w:t>本合同总价款是货物设计、制造、包装、仓储、运输、安装及验收合格之前以及质保期内备品备件发生的所有含税费用。本合同总价款还包含乙方应当提供的伴随服务/售后服务费用。</w:t>
            </w:r>
          </w:p>
        </w:tc>
      </w:tr>
    </w:tbl>
    <w:p w14:paraId="76D3BDB0">
      <w:pPr>
        <w:widowControl/>
        <w:snapToGrid w:val="0"/>
        <w:spacing w:before="19" w:line="400" w:lineRule="exact"/>
        <w:rPr>
          <w:rFonts w:ascii="Times New Roman" w:hAnsi="Times New Roman"/>
          <w:sz w:val="24"/>
          <w:highlight w:val="none"/>
        </w:rPr>
      </w:pPr>
      <w:r>
        <w:rPr>
          <w:rFonts w:ascii="Times New Roman" w:hAnsi="Times New Roman"/>
          <w:sz w:val="24"/>
          <w:highlight w:val="none"/>
        </w:rPr>
        <w:t>二、交货时间：</w:t>
      </w:r>
      <w:r>
        <w:rPr>
          <w:rFonts w:ascii="Times New Roman" w:hAnsi="Times New Roman"/>
          <w:sz w:val="24"/>
          <w:highlight w:val="none"/>
          <w:u w:val="single"/>
        </w:rPr>
        <w:t xml:space="preserve"> 在甲方指定时间供货。</w:t>
      </w:r>
    </w:p>
    <w:p w14:paraId="3420F549">
      <w:pPr>
        <w:widowControl/>
        <w:snapToGrid w:val="0"/>
        <w:spacing w:before="19" w:line="400" w:lineRule="exact"/>
        <w:rPr>
          <w:rFonts w:ascii="Times New Roman" w:hAnsi="Times New Roman"/>
          <w:sz w:val="24"/>
          <w:szCs w:val="24"/>
          <w:highlight w:val="none"/>
        </w:rPr>
      </w:pPr>
      <w:r>
        <w:rPr>
          <w:rFonts w:ascii="Times New Roman" w:hAnsi="Times New Roman"/>
          <w:sz w:val="24"/>
          <w:szCs w:val="24"/>
          <w:highlight w:val="none"/>
        </w:rPr>
        <w:t>三、交货地点：由乙方负责运输至</w:t>
      </w:r>
      <w:r>
        <w:rPr>
          <w:rFonts w:ascii="Times New Roman" w:hAnsi="Times New Roman"/>
          <w:sz w:val="24"/>
          <w:szCs w:val="24"/>
          <w:highlight w:val="none"/>
          <w:u w:val="single"/>
        </w:rPr>
        <w:t>甲方指定地点。</w:t>
      </w:r>
    </w:p>
    <w:p w14:paraId="6F6EBE2B">
      <w:pPr>
        <w:widowControl/>
        <w:snapToGrid w:val="0"/>
        <w:spacing w:before="19" w:line="400" w:lineRule="exact"/>
        <w:rPr>
          <w:rFonts w:ascii="Times New Roman" w:hAnsi="Times New Roman"/>
          <w:sz w:val="24"/>
          <w:szCs w:val="24"/>
          <w:highlight w:val="none"/>
        </w:rPr>
      </w:pPr>
      <w:r>
        <w:rPr>
          <w:rFonts w:ascii="Times New Roman" w:hAnsi="Times New Roman"/>
          <w:sz w:val="24"/>
          <w:szCs w:val="24"/>
          <w:highlight w:val="none"/>
        </w:rPr>
        <w:t>四、合同定价方式及付款方式</w:t>
      </w:r>
    </w:p>
    <w:p w14:paraId="068270DC">
      <w:pPr>
        <w:adjustRightInd w:val="0"/>
        <w:snapToGrid w:val="0"/>
        <w:spacing w:line="400" w:lineRule="exact"/>
        <w:rPr>
          <w:rFonts w:ascii="Times New Roman" w:hAnsi="Times New Roman"/>
          <w:sz w:val="24"/>
          <w:szCs w:val="24"/>
          <w:highlight w:val="none"/>
        </w:rPr>
      </w:pPr>
      <w:r>
        <w:rPr>
          <w:rFonts w:ascii="Times New Roman" w:hAnsi="Times New Roman"/>
          <w:sz w:val="24"/>
          <w:szCs w:val="24"/>
          <w:highlight w:val="none"/>
        </w:rPr>
        <w:t>1.合同定价方式：</w:t>
      </w:r>
    </w:p>
    <w:p w14:paraId="55305780">
      <w:pPr>
        <w:adjustRightInd w:val="0"/>
        <w:snapToGrid w:val="0"/>
        <w:spacing w:line="400" w:lineRule="exact"/>
        <w:rPr>
          <w:rFonts w:ascii="Times New Roman" w:hAnsi="Times New Roman"/>
          <w:sz w:val="24"/>
          <w:szCs w:val="24"/>
          <w:highlight w:val="none"/>
        </w:rPr>
      </w:pPr>
      <w:r>
        <w:rPr>
          <w:rFonts w:ascii="Times New Roman" w:hAnsi="Times New Roman"/>
          <w:iCs/>
          <w:sz w:val="24"/>
          <w:szCs w:val="24"/>
          <w:highlight w:val="none"/>
        </w:rPr>
        <w:sym w:font="Wingdings" w:char="00A8"/>
      </w:r>
      <w:r>
        <w:rPr>
          <w:rFonts w:ascii="Times New Roman" w:hAnsi="Times New Roman"/>
          <w:iCs/>
          <w:sz w:val="24"/>
          <w:szCs w:val="24"/>
          <w:highlight w:val="none"/>
        </w:rPr>
        <w:t xml:space="preserve">固定总价     </w:t>
      </w:r>
      <w:r>
        <w:rPr>
          <w:rFonts w:ascii="Times New Roman" w:hAnsi="Times New Roman"/>
          <w:iCs/>
          <w:sz w:val="24"/>
          <w:szCs w:val="24"/>
          <w:highlight w:val="none"/>
        </w:rPr>
        <w:sym w:font="Wingdings" w:char="00A8"/>
      </w:r>
      <w:r>
        <w:rPr>
          <w:rFonts w:ascii="Times New Roman" w:hAnsi="Times New Roman"/>
          <w:iCs/>
          <w:sz w:val="24"/>
          <w:szCs w:val="24"/>
          <w:highlight w:val="none"/>
        </w:rPr>
        <w:t xml:space="preserve">固定单价    </w:t>
      </w:r>
      <w:r>
        <w:rPr>
          <w:rFonts w:ascii="Times New Roman" w:hAnsi="Times New Roman"/>
          <w:iCs/>
          <w:sz w:val="24"/>
          <w:szCs w:val="24"/>
          <w:highlight w:val="none"/>
        </w:rPr>
        <w:sym w:font="Wingdings" w:char="00A8"/>
      </w:r>
      <w:r>
        <w:rPr>
          <w:rFonts w:ascii="Times New Roman" w:hAnsi="Times New Roman"/>
          <w:iCs/>
          <w:sz w:val="24"/>
          <w:szCs w:val="24"/>
          <w:highlight w:val="none"/>
        </w:rPr>
        <w:t xml:space="preserve">固定费率    </w:t>
      </w:r>
      <w:r>
        <w:rPr>
          <w:rFonts w:ascii="Times New Roman" w:hAnsi="Times New Roman"/>
          <w:iCs/>
          <w:sz w:val="24"/>
          <w:szCs w:val="24"/>
          <w:highlight w:val="none"/>
        </w:rPr>
        <w:sym w:font="Wingdings" w:char="00A8"/>
      </w:r>
      <w:r>
        <w:rPr>
          <w:rFonts w:ascii="Times New Roman" w:hAnsi="Times New Roman"/>
          <w:iCs/>
          <w:sz w:val="24"/>
          <w:szCs w:val="24"/>
          <w:highlight w:val="none"/>
        </w:rPr>
        <w:t>其他</w:t>
      </w:r>
      <w:r>
        <w:rPr>
          <w:rFonts w:ascii="Times New Roman" w:hAnsi="Times New Roman"/>
          <w:sz w:val="24"/>
          <w:szCs w:val="24"/>
          <w:highlight w:val="none"/>
          <w:u w:val="single"/>
        </w:rPr>
        <w:t xml:space="preserve">       </w:t>
      </w:r>
    </w:p>
    <w:p w14:paraId="3A99B074">
      <w:pPr>
        <w:widowControl/>
        <w:snapToGrid w:val="0"/>
        <w:spacing w:before="19" w:line="400" w:lineRule="exact"/>
        <w:rPr>
          <w:rFonts w:ascii="Times New Roman" w:hAnsi="Times New Roman"/>
          <w:sz w:val="24"/>
          <w:szCs w:val="24"/>
          <w:highlight w:val="none"/>
        </w:rPr>
      </w:pPr>
      <w:r>
        <w:rPr>
          <w:rFonts w:hint="eastAsia" w:ascii="Times New Roman" w:hAnsi="Times New Roman"/>
          <w:sz w:val="24"/>
          <w:szCs w:val="24"/>
          <w:highlight w:val="none"/>
        </w:rPr>
        <w:t>2.</w:t>
      </w:r>
      <w:r>
        <w:rPr>
          <w:rFonts w:ascii="Times New Roman" w:hAnsi="Times New Roman"/>
          <w:sz w:val="24"/>
          <w:szCs w:val="24"/>
          <w:highlight w:val="none"/>
        </w:rPr>
        <w:t>付款方式</w:t>
      </w:r>
      <w:r>
        <w:rPr>
          <w:rFonts w:hint="eastAsia" w:ascii="Times New Roman" w:hAnsi="Times New Roman"/>
          <w:sz w:val="24"/>
          <w:szCs w:val="24"/>
          <w:highlight w:val="none"/>
        </w:rPr>
        <w:t>：</w:t>
      </w:r>
    </w:p>
    <w:p w14:paraId="35131BA5">
      <w:pPr>
        <w:adjustRightInd w:val="0"/>
        <w:snapToGrid w:val="0"/>
        <w:spacing w:line="400" w:lineRule="exact"/>
        <w:rPr>
          <w:rFonts w:ascii="Times New Roman" w:hAnsi="Times New Roman"/>
          <w:sz w:val="24"/>
          <w:szCs w:val="24"/>
          <w:highlight w:val="none"/>
        </w:rPr>
      </w:pPr>
      <w:r>
        <w:rPr>
          <w:rFonts w:ascii="Times New Roman" w:hAnsi="Times New Roman"/>
          <w:sz w:val="24"/>
          <w:szCs w:val="24"/>
          <w:highlight w:val="none"/>
        </w:rPr>
        <w:sym w:font="Wingdings" w:char="00A8"/>
      </w:r>
      <w:r>
        <w:rPr>
          <w:rFonts w:ascii="Times New Roman" w:hAnsi="Times New Roman"/>
          <w:sz w:val="24"/>
          <w:szCs w:val="24"/>
          <w:highlight w:val="none"/>
        </w:rPr>
        <w:t>预付款： 合同签订后_______个工作日内支付合同金额的_______ % （有预付款的勾选并填写本项）；</w:t>
      </w:r>
    </w:p>
    <w:p w14:paraId="39186A0D">
      <w:pPr>
        <w:adjustRightInd w:val="0"/>
        <w:snapToGrid w:val="0"/>
        <w:spacing w:line="400" w:lineRule="exact"/>
        <w:rPr>
          <w:rFonts w:ascii="Times New Roman" w:hAnsi="Times New Roman"/>
          <w:sz w:val="24"/>
          <w:szCs w:val="24"/>
          <w:highlight w:val="none"/>
        </w:rPr>
      </w:pPr>
      <w:r>
        <w:rPr>
          <w:rFonts w:ascii="Times New Roman" w:hAnsi="Times New Roman"/>
          <w:sz w:val="24"/>
          <w:szCs w:val="24"/>
          <w:highlight w:val="none"/>
        </w:rPr>
        <w:sym w:font="Wingdings" w:char="00A8"/>
      </w:r>
      <w:r>
        <w:rPr>
          <w:rFonts w:ascii="Times New Roman" w:hAnsi="Times New Roman"/>
          <w:sz w:val="24"/>
          <w:szCs w:val="24"/>
          <w:highlight w:val="none"/>
        </w:rPr>
        <w:t>进度款： ________________________________________________________支付合同金额的_______ % （分期支付进度款的勾选并填写本项，应明确分期支付合同款项的各期比例和支付条件，各期支付条件应与履约情况挂钩）；</w:t>
      </w:r>
    </w:p>
    <w:p w14:paraId="78A937C8">
      <w:pPr>
        <w:adjustRightInd w:val="0"/>
        <w:snapToGrid w:val="0"/>
        <w:spacing w:line="400" w:lineRule="exact"/>
        <w:rPr>
          <w:rFonts w:ascii="Times New Roman" w:hAnsi="Times New Roman"/>
          <w:sz w:val="24"/>
          <w:szCs w:val="24"/>
          <w:highlight w:val="none"/>
        </w:rPr>
      </w:pPr>
      <w:r>
        <w:rPr>
          <w:rFonts w:ascii="Times New Roman" w:hAnsi="Times New Roman"/>
          <w:sz w:val="24"/>
          <w:szCs w:val="24"/>
          <w:highlight w:val="none"/>
        </w:rPr>
        <w:sym w:font="Wingdings" w:char="00FE"/>
      </w:r>
      <w:r>
        <w:rPr>
          <w:rFonts w:ascii="Times New Roman" w:hAnsi="Times New Roman"/>
          <w:sz w:val="24"/>
          <w:szCs w:val="24"/>
          <w:highlight w:val="none"/>
        </w:rPr>
        <w:t>验收合格后</w:t>
      </w:r>
      <w:r>
        <w:rPr>
          <w:rFonts w:hint="eastAsia" w:ascii="Times New Roman" w:hAnsi="Times New Roman"/>
          <w:sz w:val="24"/>
          <w:szCs w:val="24"/>
          <w:highlight w:val="none"/>
        </w:rPr>
        <w:t>30</w:t>
      </w:r>
      <w:r>
        <w:rPr>
          <w:rFonts w:ascii="Times New Roman" w:hAnsi="Times New Roman"/>
          <w:sz w:val="24"/>
          <w:szCs w:val="24"/>
          <w:highlight w:val="none"/>
        </w:rPr>
        <w:t>日内支付合同总价的_______%（支付条件应与验收情况挂钩）；</w:t>
      </w:r>
    </w:p>
    <w:p w14:paraId="0ECDE34E">
      <w:pPr>
        <w:widowControl/>
        <w:snapToGrid w:val="0"/>
        <w:spacing w:before="19" w:line="400" w:lineRule="exact"/>
        <w:rPr>
          <w:rFonts w:ascii="Times New Roman" w:hAnsi="Times New Roman"/>
          <w:sz w:val="24"/>
          <w:szCs w:val="24"/>
          <w:highlight w:val="none"/>
        </w:rPr>
      </w:pPr>
      <w:r>
        <w:rPr>
          <w:rFonts w:ascii="Times New Roman" w:hAnsi="Times New Roman"/>
          <w:sz w:val="24"/>
          <w:szCs w:val="24"/>
          <w:highlight w:val="none"/>
        </w:rPr>
        <w:sym w:font="Wingdings" w:char="00A8"/>
      </w:r>
      <w:r>
        <w:rPr>
          <w:rFonts w:ascii="Times New Roman" w:hAnsi="Times New Roman"/>
          <w:sz w:val="24"/>
          <w:szCs w:val="24"/>
          <w:highlight w:val="none"/>
        </w:rPr>
        <w:t>其他： ________________________________________________________。</w:t>
      </w:r>
    </w:p>
    <w:p w14:paraId="0B95CD54">
      <w:pPr>
        <w:widowControl/>
        <w:snapToGrid w:val="0"/>
        <w:spacing w:before="19" w:line="400" w:lineRule="exact"/>
        <w:rPr>
          <w:rFonts w:ascii="Times New Roman" w:hAnsi="Times New Roman"/>
          <w:sz w:val="24"/>
          <w:szCs w:val="24"/>
          <w:highlight w:val="none"/>
        </w:rPr>
      </w:pPr>
      <w:r>
        <w:rPr>
          <w:rFonts w:ascii="Times New Roman" w:hAnsi="Times New Roman"/>
          <w:sz w:val="24"/>
          <w:szCs w:val="24"/>
          <w:highlight w:val="none"/>
        </w:rPr>
        <w:t>付款金额均不计利息。</w:t>
      </w:r>
    </w:p>
    <w:p w14:paraId="0CF2C684">
      <w:pPr>
        <w:widowControl/>
        <w:snapToGrid w:val="0"/>
        <w:spacing w:before="19" w:line="400" w:lineRule="exact"/>
        <w:rPr>
          <w:rFonts w:ascii="Times New Roman" w:hAnsi="Times New Roman"/>
          <w:sz w:val="24"/>
          <w:highlight w:val="none"/>
        </w:rPr>
      </w:pPr>
      <w:r>
        <w:rPr>
          <w:rFonts w:ascii="Times New Roman" w:hAnsi="Times New Roman"/>
          <w:sz w:val="24"/>
          <w:highlight w:val="none"/>
        </w:rPr>
        <w:t>五、质保期：_______(自验收合格之日起计。</w:t>
      </w:r>
      <w:r>
        <w:rPr>
          <w:rFonts w:ascii="Times New Roman" w:hAnsi="Times New Roman"/>
          <w:kern w:val="2"/>
          <w:sz w:val="24"/>
          <w:szCs w:val="24"/>
          <w:highlight w:val="none"/>
        </w:rPr>
        <w:t>在质量保证期内所发现的缺陷，</w:t>
      </w:r>
      <w:r>
        <w:rPr>
          <w:rFonts w:hint="eastAsia" w:ascii="Times New Roman" w:hAnsi="Times New Roman"/>
          <w:kern w:val="2"/>
          <w:sz w:val="24"/>
          <w:szCs w:val="24"/>
          <w:highlight w:val="none"/>
        </w:rPr>
        <w:t>乙方</w:t>
      </w:r>
      <w:r>
        <w:rPr>
          <w:rFonts w:ascii="Times New Roman" w:hAnsi="Times New Roman"/>
          <w:kern w:val="2"/>
          <w:sz w:val="24"/>
          <w:szCs w:val="24"/>
          <w:highlight w:val="none"/>
        </w:rPr>
        <w:t>应在</w:t>
      </w:r>
      <w:r>
        <w:rPr>
          <w:rFonts w:hint="eastAsia" w:ascii="Times New Roman" w:hAnsi="Times New Roman"/>
          <w:kern w:val="2"/>
          <w:sz w:val="24"/>
          <w:szCs w:val="24"/>
          <w:highlight w:val="none"/>
        </w:rPr>
        <w:t>约定</w:t>
      </w:r>
      <w:r>
        <w:rPr>
          <w:rFonts w:ascii="Times New Roman" w:hAnsi="Times New Roman"/>
          <w:kern w:val="2"/>
          <w:sz w:val="24"/>
          <w:szCs w:val="24"/>
          <w:highlight w:val="none"/>
        </w:rPr>
        <w:t>的响应时间内以合理的速度免费维修或更换有缺陷的货物或部件</w:t>
      </w:r>
      <w:r>
        <w:rPr>
          <w:rFonts w:ascii="Times New Roman" w:hAnsi="Times New Roman"/>
          <w:sz w:val="24"/>
          <w:highlight w:val="none"/>
        </w:rPr>
        <w:t>。)</w:t>
      </w:r>
    </w:p>
    <w:p w14:paraId="58B675DE">
      <w:pPr>
        <w:widowControl/>
        <w:snapToGrid w:val="0"/>
        <w:spacing w:before="19" w:line="400" w:lineRule="exact"/>
        <w:rPr>
          <w:rFonts w:ascii="Times New Roman" w:hAnsi="Times New Roman"/>
          <w:sz w:val="24"/>
          <w:highlight w:val="none"/>
        </w:rPr>
      </w:pPr>
      <w:r>
        <w:rPr>
          <w:rFonts w:ascii="Times New Roman" w:hAnsi="Times New Roman"/>
          <w:sz w:val="24"/>
          <w:highlight w:val="none"/>
        </w:rPr>
        <w:t>六、质量要求、技术标准、乙方对质量负责的条件和期限：</w:t>
      </w:r>
    </w:p>
    <w:p w14:paraId="6AD49D2A">
      <w:pPr>
        <w:widowControl/>
        <w:snapToGrid w:val="0"/>
        <w:spacing w:before="19" w:line="400" w:lineRule="exact"/>
        <w:rPr>
          <w:rFonts w:ascii="Times New Roman" w:hAnsi="Times New Roman"/>
          <w:sz w:val="24"/>
          <w:highlight w:val="none"/>
        </w:rPr>
      </w:pPr>
      <w:r>
        <w:rPr>
          <w:rFonts w:ascii="Times New Roman" w:hAnsi="Times New Roman"/>
          <w:sz w:val="24"/>
          <w:highlight w:val="none"/>
        </w:rPr>
        <w:t>1</w:t>
      </w:r>
      <w:r>
        <w:rPr>
          <w:rFonts w:hint="eastAsia" w:ascii="Times New Roman" w:hAnsi="Times New Roman"/>
          <w:sz w:val="24"/>
          <w:highlight w:val="none"/>
        </w:rPr>
        <w:t>.</w:t>
      </w:r>
      <w:r>
        <w:rPr>
          <w:rFonts w:ascii="Times New Roman" w:hAnsi="Times New Roman"/>
          <w:sz w:val="24"/>
          <w:highlight w:val="none"/>
        </w:rPr>
        <w:t>乙方所提供的货物，若技术性能无特殊说明，则按生产企业或国家有关部门最新颁布的标准及规范为准。</w:t>
      </w:r>
    </w:p>
    <w:p w14:paraId="799E3417">
      <w:pPr>
        <w:widowControl/>
        <w:snapToGrid w:val="0"/>
        <w:spacing w:before="19" w:line="400" w:lineRule="exac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45413C7C">
      <w:pPr>
        <w:widowControl/>
        <w:snapToGrid w:val="0"/>
        <w:spacing w:before="19" w:line="400" w:lineRule="exact"/>
        <w:rPr>
          <w:rFonts w:ascii="Times New Roman" w:hAnsi="Times New Roman"/>
          <w:sz w:val="24"/>
          <w:highlight w:val="none"/>
        </w:rPr>
      </w:pPr>
      <w:r>
        <w:rPr>
          <w:rFonts w:ascii="Times New Roman" w:hAnsi="Times New Roman"/>
          <w:sz w:val="24"/>
          <w:highlight w:val="none"/>
        </w:rPr>
        <w:t>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p>
    <w:p w14:paraId="72BA2AB3">
      <w:pPr>
        <w:widowControl/>
        <w:snapToGrid w:val="0"/>
        <w:spacing w:before="19" w:line="400" w:lineRule="exact"/>
        <w:rPr>
          <w:rFonts w:ascii="Times New Roman" w:hAnsi="Times New Roman"/>
          <w:sz w:val="24"/>
          <w:highlight w:val="none"/>
        </w:rPr>
      </w:pPr>
      <w:r>
        <w:rPr>
          <w:rFonts w:ascii="Times New Roman" w:hAnsi="Times New Roman"/>
          <w:sz w:val="24"/>
          <w:highlight w:val="none"/>
        </w:rPr>
        <w:t>八、工程部分（两万元</w:t>
      </w:r>
      <w:r>
        <w:rPr>
          <w:rFonts w:hint="eastAsia" w:ascii="Times New Roman" w:hAnsi="Times New Roman"/>
          <w:sz w:val="24"/>
          <w:highlight w:val="none"/>
        </w:rPr>
        <w:t>及</w:t>
      </w:r>
      <w:r>
        <w:rPr>
          <w:rFonts w:ascii="Times New Roman" w:hAnsi="Times New Roman"/>
          <w:sz w:val="24"/>
          <w:highlight w:val="none"/>
        </w:rPr>
        <w:t>以上）需按南京邮电大学审计相关规定执行。</w:t>
      </w:r>
    </w:p>
    <w:p w14:paraId="6B050412">
      <w:pPr>
        <w:widowControl/>
        <w:snapToGrid w:val="0"/>
        <w:spacing w:before="19" w:line="400" w:lineRule="exact"/>
        <w:rPr>
          <w:rFonts w:ascii="Times New Roman" w:hAnsi="Times New Roman"/>
          <w:sz w:val="24"/>
          <w:highlight w:val="none"/>
        </w:rPr>
      </w:pPr>
      <w:r>
        <w:rPr>
          <w:rFonts w:ascii="Times New Roman" w:hAnsi="Times New Roman"/>
          <w:sz w:val="24"/>
          <w:highlight w:val="none"/>
        </w:rPr>
        <w:t>九、本</w:t>
      </w:r>
      <w:r>
        <w:rPr>
          <w:rFonts w:hint="eastAsia" w:ascii="Times New Roman" w:hAnsi="Times New Roman"/>
          <w:sz w:val="24"/>
          <w:highlight w:val="none"/>
        </w:rPr>
        <w:t>合同</w:t>
      </w:r>
      <w:r>
        <w:rPr>
          <w:rFonts w:ascii="Times New Roman" w:hAnsi="Times New Roman"/>
          <w:sz w:val="24"/>
          <w:highlight w:val="none"/>
        </w:rPr>
        <w:t>与下列文件一起构成合同文件，如下述文件之间有任何抵触、矛盾或歧义，应按以下顺序解释：</w:t>
      </w:r>
    </w:p>
    <w:p w14:paraId="3A7A07DF">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1.本合同</w:t>
      </w:r>
      <w:r>
        <w:rPr>
          <w:rFonts w:ascii="Times New Roman" w:hAnsi="Times New Roman"/>
          <w:sz w:val="24"/>
          <w:highlight w:val="none"/>
        </w:rPr>
        <w:t>及其变更、补充协议</w:t>
      </w:r>
    </w:p>
    <w:p w14:paraId="768CCE0D">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2.</w:t>
      </w:r>
      <w:r>
        <w:rPr>
          <w:rFonts w:ascii="Times New Roman" w:hAnsi="Times New Roman"/>
          <w:sz w:val="24"/>
          <w:highlight w:val="none"/>
        </w:rPr>
        <w:t>中标（成交）通知书</w:t>
      </w:r>
    </w:p>
    <w:p w14:paraId="12C9B2F9">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3.</w:t>
      </w:r>
      <w:r>
        <w:rPr>
          <w:rFonts w:ascii="Times New Roman" w:hAnsi="Times New Roman"/>
          <w:sz w:val="24"/>
          <w:highlight w:val="none"/>
        </w:rPr>
        <w:t>投标（响应）文件</w:t>
      </w:r>
    </w:p>
    <w:p w14:paraId="5EE3C3CF">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4.</w:t>
      </w:r>
      <w:r>
        <w:rPr>
          <w:rFonts w:ascii="Times New Roman" w:hAnsi="Times New Roman"/>
          <w:sz w:val="24"/>
          <w:highlight w:val="none"/>
        </w:rPr>
        <w:t>采购文件</w:t>
      </w:r>
    </w:p>
    <w:p w14:paraId="62DBD5BB">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5.</w:t>
      </w:r>
      <w:r>
        <w:rPr>
          <w:rFonts w:ascii="Times New Roman" w:hAnsi="Times New Roman"/>
          <w:sz w:val="24"/>
          <w:highlight w:val="none"/>
        </w:rPr>
        <w:t>有关技术文件，图纸</w:t>
      </w:r>
    </w:p>
    <w:p w14:paraId="26A3589A">
      <w:pPr>
        <w:widowControl/>
        <w:snapToGrid w:val="0"/>
        <w:spacing w:before="19" w:line="400" w:lineRule="exact"/>
        <w:rPr>
          <w:rFonts w:ascii="Times New Roman" w:hAnsi="Times New Roman"/>
          <w:sz w:val="24"/>
          <w:highlight w:val="none"/>
        </w:rPr>
      </w:pPr>
      <w:r>
        <w:rPr>
          <w:rFonts w:hint="eastAsia" w:ascii="Times New Roman" w:hAnsi="Times New Roman"/>
          <w:sz w:val="24"/>
          <w:highlight w:val="none"/>
        </w:rPr>
        <w:t>6.</w:t>
      </w:r>
      <w:r>
        <w:rPr>
          <w:rFonts w:ascii="Times New Roman" w:hAnsi="Times New Roman"/>
          <w:sz w:val="24"/>
          <w:highlight w:val="none"/>
        </w:rPr>
        <w:t>国家法律、行政法规和规章制度规定或合同约定的作为合同组成部分的其他文件</w:t>
      </w:r>
    </w:p>
    <w:p w14:paraId="638AD479">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十、违约责任</w:t>
      </w:r>
    </w:p>
    <w:p w14:paraId="60061F90">
      <w:pPr>
        <w:widowControl/>
        <w:snapToGrid w:val="0"/>
        <w:spacing w:before="19" w:line="400" w:lineRule="exact"/>
        <w:rPr>
          <w:rFonts w:ascii="Times New Roman" w:hAnsi="Times New Roman"/>
          <w:sz w:val="24"/>
          <w:highlight w:val="none"/>
        </w:rPr>
      </w:pPr>
      <w:r>
        <w:rPr>
          <w:rFonts w:ascii="Times New Roman" w:hAnsi="Times New Roman"/>
          <w:sz w:val="24"/>
          <w:highlight w:val="none"/>
        </w:rPr>
        <w:t>1</w:t>
      </w:r>
      <w:r>
        <w:rPr>
          <w:rFonts w:hint="eastAsia" w:ascii="Times New Roman" w:hAnsi="Times New Roman"/>
          <w:sz w:val="24"/>
          <w:highlight w:val="none"/>
        </w:rPr>
        <w:t>.</w:t>
      </w:r>
      <w:r>
        <w:rPr>
          <w:rFonts w:ascii="Times New Roman" w:hAnsi="Times New Roman"/>
          <w:sz w:val="24"/>
          <w:highlight w:val="none"/>
        </w:rPr>
        <w:t>甲方无正当理由拒收货物、拒付货物款的，由甲方向乙方偿付合同总价的10%违约金。如乙方不能交付货物，乙方应向甲方支付合同总价10％的违约金。若该违约金不足以弥补甲方损失的，乙方还应予以赔偿。</w:t>
      </w:r>
    </w:p>
    <w:p w14:paraId="65F5CFF2">
      <w:pPr>
        <w:spacing w:before="19" w:line="400" w:lineRule="exac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乙方逾期交付货物的，乙方应按逾期交货总额每日</w:t>
      </w:r>
      <w:r>
        <w:rPr>
          <w:rFonts w:hint="eastAsia" w:ascii="Times New Roman" w:hAnsi="Times New Roman"/>
          <w:sz w:val="24"/>
          <w:highlight w:val="none"/>
          <w:u w:val="single"/>
        </w:rPr>
        <w:t xml:space="preserve">   5</w:t>
      </w:r>
      <w:r>
        <w:rPr>
          <w:rFonts w:ascii="Times New Roman" w:hAnsi="Times New Roman"/>
          <w:sz w:val="24"/>
          <w:highlight w:val="none"/>
          <w:u w:val="single"/>
        </w:rPr>
        <w:t>‰</w:t>
      </w:r>
      <w:r>
        <w:rPr>
          <w:rFonts w:hint="eastAsia" w:ascii="Times New Roman" w:hAnsi="Times New Roman"/>
          <w:sz w:val="24"/>
          <w:highlight w:val="none"/>
          <w:u w:val="single"/>
        </w:rPr>
        <w:t xml:space="preserve">   </w:t>
      </w:r>
      <w:r>
        <w:rPr>
          <w:rFonts w:ascii="Times New Roman" w:hAnsi="Times New Roman"/>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p>
    <w:p w14:paraId="223761B0">
      <w:pPr>
        <w:spacing w:before="19" w:line="400" w:lineRule="exact"/>
        <w:rPr>
          <w:rFonts w:ascii="Times New Roman" w:hAnsi="Times New Roman"/>
          <w:sz w:val="24"/>
          <w:highlight w:val="none"/>
        </w:rPr>
      </w:pPr>
      <w:r>
        <w:rPr>
          <w:rFonts w:ascii="Times New Roman" w:hAnsi="Times New Roman"/>
          <w:sz w:val="24"/>
          <w:highlight w:val="none"/>
        </w:rPr>
        <w:t>3</w:t>
      </w:r>
      <w:r>
        <w:rPr>
          <w:rFonts w:hint="eastAsia" w:ascii="Times New Roman" w:hAnsi="Times New Roman"/>
          <w:sz w:val="24"/>
          <w:highlight w:val="none"/>
        </w:rPr>
        <w:t>.</w:t>
      </w:r>
      <w:r>
        <w:rPr>
          <w:rFonts w:ascii="Times New Roman" w:hAnsi="Times New Roman"/>
          <w:sz w:val="24"/>
          <w:highlight w:val="none"/>
        </w:rPr>
        <w:t>乙方所交的货物品种、型号、规格、技术参数、质量不符合合同规定及</w:t>
      </w:r>
      <w:r>
        <w:rPr>
          <w:rFonts w:hint="eastAsia" w:ascii="Times New Roman" w:hAnsi="Times New Roman"/>
          <w:sz w:val="24"/>
          <w:highlight w:val="none"/>
        </w:rPr>
        <w:t>采购</w:t>
      </w:r>
      <w:r>
        <w:rPr>
          <w:rFonts w:ascii="Times New Roman" w:hAnsi="Times New Roman"/>
          <w:sz w:val="24"/>
          <w:highlight w:val="none"/>
        </w:rPr>
        <w:t>文件</w:t>
      </w:r>
      <w:r>
        <w:rPr>
          <w:rFonts w:hint="eastAsia" w:ascii="Times New Roman" w:hAnsi="Times New Roman"/>
          <w:sz w:val="24"/>
          <w:highlight w:val="none"/>
        </w:rPr>
        <w:t>、响应文件</w:t>
      </w:r>
      <w:r>
        <w:rPr>
          <w:rFonts w:ascii="Times New Roman" w:hAnsi="Times New Roman"/>
          <w:sz w:val="24"/>
          <w:highlight w:val="none"/>
        </w:rPr>
        <w:t>标准的，甲方有权拒收该货物，乙方愿意更换货物但逾期交货的，按乙方逾期交货处理。乙方拒绝更换货物的，甲方可单方面解除合同。</w:t>
      </w:r>
    </w:p>
    <w:p w14:paraId="41AB708F">
      <w:pPr>
        <w:widowControl/>
        <w:snapToGrid w:val="0"/>
        <w:spacing w:before="19" w:line="400" w:lineRule="exact"/>
        <w:rPr>
          <w:rFonts w:ascii="Times New Roman" w:hAnsi="Times New Roman"/>
          <w:sz w:val="24"/>
          <w:highlight w:val="none"/>
        </w:rPr>
      </w:pPr>
      <w:r>
        <w:rPr>
          <w:rFonts w:ascii="Times New Roman" w:hAnsi="Times New Roman"/>
          <w:sz w:val="24"/>
          <w:highlight w:val="none"/>
        </w:rPr>
        <w:t>4</w:t>
      </w:r>
      <w:r>
        <w:rPr>
          <w:rFonts w:hint="eastAsia" w:ascii="Times New Roman" w:hAnsi="Times New Roman"/>
          <w:sz w:val="24"/>
          <w:highlight w:val="none"/>
        </w:rPr>
        <w:t>.</w:t>
      </w:r>
      <w:r>
        <w:rPr>
          <w:rFonts w:ascii="Times New Roman" w:hAnsi="Times New Roman"/>
          <w:sz w:val="24"/>
          <w:highlight w:val="none"/>
        </w:rPr>
        <w:t>在乙方承诺的或国家规定的质量保证期内（取两者中最长的期限），如经乙方两次维修或更换，货物仍不能达到合同约定的质量标准，甲方有权退货，乙方应退回全部货款。同时，乙方还须赔偿甲方因此遭受的损失。</w:t>
      </w:r>
    </w:p>
    <w:p w14:paraId="6909ECB2">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十一、 合同的变更和终止</w:t>
      </w:r>
    </w:p>
    <w:p w14:paraId="3CCA6532">
      <w:pPr>
        <w:widowControl/>
        <w:snapToGrid w:val="0"/>
        <w:spacing w:before="19" w:line="400" w:lineRule="exact"/>
        <w:rPr>
          <w:rFonts w:ascii="Times New Roman" w:hAnsi="Times New Roman"/>
          <w:sz w:val="24"/>
          <w:highlight w:val="none"/>
        </w:rPr>
      </w:pPr>
      <w:r>
        <w:rPr>
          <w:rFonts w:ascii="Times New Roman" w:hAnsi="Times New Roman"/>
          <w:sz w:val="24"/>
          <w:highlight w:val="none"/>
        </w:rPr>
        <w:t>依据《政府采购法》第五十条，本合同一经签订，甲乙双方不得擅自变更、中止或终止合同。特殊情况确需变更且符合规定情形的，应由甲乙双方协商一致，并签订书面补充协议。</w:t>
      </w:r>
    </w:p>
    <w:p w14:paraId="3B9904A8">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十二、合同的转让</w:t>
      </w:r>
    </w:p>
    <w:p w14:paraId="78548488">
      <w:pPr>
        <w:widowControl/>
        <w:snapToGrid w:val="0"/>
        <w:spacing w:before="19" w:line="400" w:lineRule="exact"/>
        <w:rPr>
          <w:rFonts w:ascii="Times New Roman" w:hAnsi="Times New Roman"/>
          <w:sz w:val="24"/>
          <w:highlight w:val="none"/>
        </w:rPr>
      </w:pPr>
      <w:r>
        <w:rPr>
          <w:rFonts w:ascii="Times New Roman" w:hAnsi="Times New Roman"/>
          <w:sz w:val="24"/>
          <w:highlight w:val="none"/>
        </w:rPr>
        <w:t>乙方不得擅自部分或全部转让其应履行的合同义务。</w:t>
      </w:r>
    </w:p>
    <w:p w14:paraId="5D6D5E00">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十三、 争议的解决</w:t>
      </w:r>
    </w:p>
    <w:p w14:paraId="47BC04EF">
      <w:pPr>
        <w:widowControl/>
        <w:snapToGrid w:val="0"/>
        <w:spacing w:before="19" w:line="400" w:lineRule="exact"/>
        <w:rPr>
          <w:rFonts w:ascii="Times New Roman" w:hAnsi="Times New Roman"/>
          <w:sz w:val="24"/>
          <w:highlight w:val="none"/>
        </w:rPr>
      </w:pPr>
      <w:r>
        <w:rPr>
          <w:rFonts w:ascii="Times New Roman" w:hAnsi="Times New Roman"/>
          <w:sz w:val="24"/>
          <w:highlight w:val="none"/>
        </w:rPr>
        <w:t>1</w:t>
      </w:r>
      <w:r>
        <w:rPr>
          <w:rFonts w:hint="eastAsia" w:ascii="Times New Roman" w:hAnsi="Times New Roman"/>
          <w:sz w:val="24"/>
          <w:highlight w:val="none"/>
        </w:rPr>
        <w:t>.</w:t>
      </w:r>
      <w:r>
        <w:rPr>
          <w:rFonts w:ascii="Times New Roman" w:hAnsi="Times New Roman"/>
          <w:sz w:val="24"/>
          <w:highlight w:val="none"/>
        </w:rPr>
        <w:t>因货物的质量问题发生争议的，应当邀请国家认可的质量检测机构对货物质量进行鉴定。货物符合标准的，鉴定费由甲方承担；货物不符合质量标准的，鉴定费由乙方承担、并更换有问题商品或部件。</w:t>
      </w:r>
    </w:p>
    <w:p w14:paraId="131623FC">
      <w:pPr>
        <w:widowControl/>
        <w:snapToGrid w:val="0"/>
        <w:spacing w:before="19" w:line="400" w:lineRule="exact"/>
        <w:rPr>
          <w:rFonts w:ascii="Times New Roman" w:hAnsi="Times New Roman"/>
          <w:sz w:val="24"/>
          <w:highlight w:val="none"/>
        </w:rPr>
      </w:pPr>
      <w:r>
        <w:rPr>
          <w:rFonts w:ascii="Times New Roman" w:hAnsi="Times New Roman"/>
          <w:sz w:val="24"/>
          <w:highlight w:val="none"/>
        </w:rPr>
        <w:t>2</w:t>
      </w:r>
      <w:r>
        <w:rPr>
          <w:rFonts w:hint="eastAsia" w:ascii="Times New Roman" w:hAnsi="Times New Roman"/>
          <w:sz w:val="24"/>
          <w:highlight w:val="none"/>
        </w:rPr>
        <w:t>.</w:t>
      </w:r>
      <w:r>
        <w:rPr>
          <w:rFonts w:ascii="Times New Roman" w:hAnsi="Times New Roman"/>
          <w:sz w:val="24"/>
          <w:highlight w:val="none"/>
        </w:rPr>
        <w:t>因履行本合同引起的或与本合同有关的争议，甲、乙双方应首先通过友好协商解决，如果协商不能解决争议，任何一方均可向甲方所在地人民法院起诉解决。</w:t>
      </w:r>
    </w:p>
    <w:p w14:paraId="536F483F">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十四、付款前乙方须提供</w:t>
      </w:r>
      <w:r>
        <w:rPr>
          <w:rFonts w:hint="eastAsia" w:ascii="Times New Roman" w:hAnsi="Times New Roman"/>
          <w:sz w:val="24"/>
          <w:highlight w:val="none"/>
          <w:u w:val="single"/>
        </w:rPr>
        <w:t xml:space="preserve">      </w:t>
      </w:r>
      <w:r>
        <w:rPr>
          <w:rFonts w:ascii="Times New Roman" w:hAnsi="Times New Roman"/>
          <w:sz w:val="24"/>
          <w:highlight w:val="none"/>
          <w:u w:val="single"/>
        </w:rPr>
        <w:t>增值税</w:t>
      </w:r>
      <w:r>
        <w:rPr>
          <w:rFonts w:hint="eastAsia" w:ascii="Times New Roman" w:hAnsi="Times New Roman"/>
          <w:sz w:val="24"/>
          <w:highlight w:val="none"/>
          <w:u w:val="single"/>
        </w:rPr>
        <w:t>专用</w:t>
      </w:r>
      <w:r>
        <w:rPr>
          <w:rFonts w:ascii="Times New Roman" w:hAnsi="Times New Roman"/>
          <w:sz w:val="24"/>
          <w:highlight w:val="none"/>
          <w:u w:val="single"/>
        </w:rPr>
        <w:t>发票</w:t>
      </w:r>
      <w:r>
        <w:rPr>
          <w:rFonts w:hint="eastAsia" w:ascii="Times New Roman" w:hAnsi="Times New Roman"/>
          <w:sz w:val="24"/>
          <w:highlight w:val="none"/>
          <w:u w:val="single"/>
        </w:rPr>
        <w:t xml:space="preserve">     </w:t>
      </w:r>
      <w:r>
        <w:rPr>
          <w:rFonts w:ascii="Times New Roman" w:hAnsi="Times New Roman"/>
          <w:sz w:val="24"/>
          <w:highlight w:val="none"/>
        </w:rPr>
        <w:t>，总价不变。</w:t>
      </w:r>
    </w:p>
    <w:p w14:paraId="6F338096">
      <w:pPr>
        <w:widowControl/>
        <w:snapToGrid w:val="0"/>
        <w:spacing w:before="19" w:line="400" w:lineRule="exact"/>
        <w:rPr>
          <w:rFonts w:ascii="Times New Roman" w:hAnsi="Times New Roman"/>
          <w:sz w:val="24"/>
          <w:highlight w:val="none"/>
        </w:rPr>
      </w:pPr>
      <w:r>
        <w:rPr>
          <w:rFonts w:ascii="Times New Roman" w:hAnsi="Times New Roman"/>
          <w:sz w:val="24"/>
          <w:highlight w:val="none"/>
        </w:rPr>
        <w:t>十五、本合同由甲、乙双方共同签订，合同一式</w:t>
      </w:r>
      <w:r>
        <w:rPr>
          <w:rFonts w:hint="eastAsia" w:ascii="Times New Roman" w:hAnsi="Times New Roman"/>
          <w:sz w:val="24"/>
          <w:highlight w:val="none"/>
          <w:u w:val="single"/>
        </w:rPr>
        <w:t xml:space="preserve">       </w:t>
      </w:r>
      <w:r>
        <w:rPr>
          <w:rFonts w:ascii="Times New Roman" w:hAnsi="Times New Roman"/>
          <w:sz w:val="24"/>
          <w:highlight w:val="none"/>
        </w:rPr>
        <w:t>份，甲方</w:t>
      </w:r>
      <w:r>
        <w:rPr>
          <w:rFonts w:hint="eastAsia" w:ascii="Times New Roman" w:hAnsi="Times New Roman"/>
          <w:sz w:val="24"/>
          <w:highlight w:val="none"/>
          <w:u w:val="single"/>
        </w:rPr>
        <w:t xml:space="preserve">    三   </w:t>
      </w:r>
      <w:r>
        <w:rPr>
          <w:rFonts w:ascii="Times New Roman" w:hAnsi="Times New Roman"/>
          <w:sz w:val="24"/>
          <w:highlight w:val="none"/>
        </w:rPr>
        <w:t>份、乙方</w:t>
      </w:r>
      <w:r>
        <w:rPr>
          <w:rFonts w:hint="eastAsia" w:ascii="Times New Roman" w:hAnsi="Times New Roman"/>
          <w:sz w:val="24"/>
          <w:highlight w:val="none"/>
          <w:u w:val="single"/>
        </w:rPr>
        <w:t xml:space="preserve">       </w:t>
      </w:r>
      <w:r>
        <w:rPr>
          <w:rFonts w:ascii="Times New Roman" w:hAnsi="Times New Roman"/>
          <w:sz w:val="24"/>
          <w:highlight w:val="none"/>
        </w:rPr>
        <w:t>份。自双方签字、盖章之日起生效。</w:t>
      </w:r>
    </w:p>
    <w:p w14:paraId="25D8E352">
      <w:pPr>
        <w:widowControl/>
        <w:snapToGrid w:val="0"/>
        <w:spacing w:before="19" w:line="360" w:lineRule="auto"/>
        <w:ind w:firstLine="360" w:firstLineChars="200"/>
        <w:rPr>
          <w:rFonts w:ascii="Times New Roman" w:hAnsi="Times New Roman"/>
          <w:sz w:val="18"/>
          <w:highlight w:val="none"/>
        </w:rPr>
      </w:pPr>
    </w:p>
    <w:p w14:paraId="0C9578C4">
      <w:pPr>
        <w:widowControl/>
        <w:snapToGrid w:val="0"/>
        <w:spacing w:before="19" w:line="360" w:lineRule="auto"/>
        <w:ind w:firstLine="360" w:firstLineChars="200"/>
        <w:rPr>
          <w:rFonts w:ascii="Times New Roman" w:hAnsi="Times New Roman"/>
          <w:sz w:val="18"/>
          <w:highlight w:val="none"/>
        </w:rPr>
      </w:pPr>
    </w:p>
    <w:p w14:paraId="5D469E9D">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甲方                                               乙方</w:t>
      </w:r>
    </w:p>
    <w:p w14:paraId="793FDBB3">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单位名称：南京邮电大学                             单位名称：</w:t>
      </w:r>
    </w:p>
    <w:p w14:paraId="21DC6D19">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单位地址：                                         单位地址：</w:t>
      </w:r>
    </w:p>
    <w:p w14:paraId="2052105B">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法定代表人：                                       法定代表人：</w:t>
      </w:r>
    </w:p>
    <w:p w14:paraId="074A3659">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委托代理人（签字）：                                委托代理人（签字）：</w:t>
      </w:r>
    </w:p>
    <w:p w14:paraId="4513AC27">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 xml:space="preserve">联系电话：                                         联系电话：                                            </w:t>
      </w:r>
    </w:p>
    <w:p w14:paraId="1EC03A5F">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 xml:space="preserve">开户银行：                                         开户银行： </w:t>
      </w:r>
    </w:p>
    <w:p w14:paraId="4F8C1F0F">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 xml:space="preserve">户名： 南京邮电大学                                户名： </w:t>
      </w:r>
    </w:p>
    <w:p w14:paraId="4D906667">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 xml:space="preserve">                                                   账号： </w:t>
      </w:r>
    </w:p>
    <w:p w14:paraId="37B56319">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 xml:space="preserve">                                                   行号：  </w:t>
      </w:r>
    </w:p>
    <w:p w14:paraId="44A77C37">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地址、电话：南京市栖霞区文苑路9 号　025-85866388    项目联系人：</w:t>
      </w:r>
    </w:p>
    <w:p w14:paraId="6855246B">
      <w:pPr>
        <w:widowControl/>
        <w:snapToGrid w:val="0"/>
        <w:spacing w:before="19" w:line="360" w:lineRule="auto"/>
        <w:ind w:firstLine="360" w:firstLineChars="200"/>
        <w:rPr>
          <w:rFonts w:ascii="Times New Roman" w:hAnsi="Times New Roman"/>
          <w:sz w:val="18"/>
          <w:highlight w:val="none"/>
        </w:rPr>
      </w:pPr>
      <w:r>
        <w:rPr>
          <w:rFonts w:ascii="Times New Roman" w:hAnsi="Times New Roman"/>
          <w:sz w:val="18"/>
          <w:highlight w:val="none"/>
        </w:rPr>
        <w:t>签约日期（即合同生效日期）：    年     月     日       联系电话：</w:t>
      </w:r>
    </w:p>
    <w:p w14:paraId="2562FFEE">
      <w:pPr>
        <w:pStyle w:val="290"/>
        <w:rPr>
          <w:rFonts w:hint="eastAsia" w:ascii="宋体" w:hAnsi="宋体"/>
          <w:highlight w:val="none"/>
        </w:rPr>
      </w:pPr>
    </w:p>
    <w:p w14:paraId="620105E1">
      <w:pPr>
        <w:pStyle w:val="290"/>
        <w:rPr>
          <w:rFonts w:hint="eastAsia" w:ascii="宋体" w:hAnsi="宋体"/>
          <w:highlight w:val="none"/>
        </w:rPr>
      </w:pPr>
    </w:p>
    <w:p w14:paraId="5C4B8053">
      <w:pPr>
        <w:pStyle w:val="290"/>
        <w:rPr>
          <w:rFonts w:hint="eastAsia" w:ascii="宋体" w:hAnsi="宋体"/>
          <w:highlight w:val="none"/>
        </w:rPr>
      </w:pPr>
    </w:p>
    <w:p w14:paraId="5786C618">
      <w:pPr>
        <w:pStyle w:val="290"/>
        <w:rPr>
          <w:rFonts w:hint="eastAsia" w:ascii="宋体" w:hAnsi="宋体"/>
          <w:highlight w:val="none"/>
        </w:rPr>
      </w:pPr>
    </w:p>
    <w:p w14:paraId="686A6DAB">
      <w:pPr>
        <w:rPr>
          <w:rFonts w:hint="eastAsia" w:ascii="宋体" w:hAnsi="宋体"/>
          <w:szCs w:val="21"/>
          <w:highlight w:val="none"/>
        </w:rPr>
      </w:pPr>
      <w:r>
        <w:rPr>
          <w:rFonts w:hint="eastAsia" w:ascii="宋体" w:hAnsi="宋体"/>
          <w:szCs w:val="21"/>
          <w:highlight w:val="none"/>
        </w:rPr>
        <w:br w:type="page"/>
      </w:r>
    </w:p>
    <w:p w14:paraId="55FE28FD">
      <w:pPr>
        <w:jc w:val="center"/>
        <w:rPr>
          <w:rFonts w:hint="eastAsia" w:ascii="宋体" w:hAnsi="宋体" w:cs="宋体"/>
          <w:szCs w:val="21"/>
          <w:highlight w:val="none"/>
        </w:rPr>
      </w:pPr>
      <w:r>
        <w:rPr>
          <w:rFonts w:hint="eastAsia" w:ascii="宋体" w:hAnsi="宋体" w:cs="宋体"/>
          <w:b/>
          <w:bCs/>
          <w:sz w:val="28"/>
          <w:szCs w:val="28"/>
          <w:highlight w:val="none"/>
        </w:rPr>
        <w:t>进口设备供货及技术服务协议 （进口设备）</w:t>
      </w:r>
    </w:p>
    <w:p w14:paraId="12775305">
      <w:pPr>
        <w:rPr>
          <w:rFonts w:hint="eastAsia" w:ascii="宋体" w:hAnsi="宋体" w:cs="宋体"/>
          <w:szCs w:val="21"/>
          <w:highlight w:val="none"/>
        </w:rPr>
      </w:pPr>
      <w:r>
        <w:rPr>
          <w:rFonts w:hint="eastAsia" w:ascii="宋体" w:hAnsi="宋体" w:cs="宋体"/>
          <w:szCs w:val="21"/>
          <w:highlight w:val="none"/>
        </w:rPr>
        <w:t xml:space="preserve">                 </w:t>
      </w:r>
    </w:p>
    <w:tbl>
      <w:tblPr>
        <w:tblStyle w:val="45"/>
        <w:tblW w:w="0" w:type="auto"/>
        <w:jc w:val="center"/>
        <w:tblLayout w:type="autofit"/>
        <w:tblCellMar>
          <w:top w:w="0" w:type="dxa"/>
          <w:left w:w="108" w:type="dxa"/>
          <w:bottom w:w="0" w:type="dxa"/>
          <w:right w:w="108" w:type="dxa"/>
        </w:tblCellMar>
      </w:tblPr>
      <w:tblGrid>
        <w:gridCol w:w="5328"/>
        <w:gridCol w:w="3600"/>
      </w:tblGrid>
      <w:tr w14:paraId="14DA1A05">
        <w:tblPrEx>
          <w:tblCellMar>
            <w:top w:w="0" w:type="dxa"/>
            <w:left w:w="108" w:type="dxa"/>
            <w:bottom w:w="0" w:type="dxa"/>
            <w:right w:w="108" w:type="dxa"/>
          </w:tblCellMar>
        </w:tblPrEx>
        <w:trPr>
          <w:jc w:val="center"/>
        </w:trPr>
        <w:tc>
          <w:tcPr>
            <w:tcW w:w="5328" w:type="dxa"/>
          </w:tcPr>
          <w:p w14:paraId="06B8A9E2">
            <w:pPr>
              <w:spacing w:line="360" w:lineRule="auto"/>
              <w:rPr>
                <w:rFonts w:hint="eastAsia" w:ascii="宋体" w:hAnsi="宋体" w:cs="宋体"/>
                <w:szCs w:val="21"/>
                <w:highlight w:val="none"/>
              </w:rPr>
            </w:pPr>
            <w:r>
              <w:rPr>
                <w:rFonts w:hint="eastAsia" w:ascii="宋体" w:hAnsi="宋体" w:cs="宋体"/>
                <w:szCs w:val="21"/>
                <w:highlight w:val="none"/>
              </w:rPr>
              <w:t>甲方：</w:t>
            </w:r>
            <w:r>
              <w:rPr>
                <w:rFonts w:hint="eastAsia" w:ascii="宋体" w:hAnsi="宋体" w:cs="宋体"/>
                <w:b/>
                <w:szCs w:val="21"/>
                <w:highlight w:val="none"/>
              </w:rPr>
              <w:t>南京邮电大学</w:t>
            </w:r>
          </w:p>
        </w:tc>
        <w:tc>
          <w:tcPr>
            <w:tcW w:w="3600" w:type="dxa"/>
          </w:tcPr>
          <w:p w14:paraId="7559E604">
            <w:pPr>
              <w:spacing w:line="360" w:lineRule="auto"/>
              <w:rPr>
                <w:rFonts w:hint="eastAsia" w:ascii="宋体" w:hAnsi="宋体" w:cs="宋体"/>
                <w:szCs w:val="21"/>
                <w:highlight w:val="none"/>
              </w:rPr>
            </w:pPr>
            <w:r>
              <w:rPr>
                <w:rFonts w:hint="eastAsia" w:ascii="宋体" w:hAnsi="宋体" w:cs="宋体"/>
                <w:szCs w:val="21"/>
                <w:highlight w:val="none"/>
              </w:rPr>
              <w:t>响应编号：</w:t>
            </w:r>
            <w:r>
              <w:rPr>
                <w:rFonts w:hint="eastAsia" w:ascii="宋体" w:hAnsi="宋体" w:cs="宋体"/>
                <w:szCs w:val="21"/>
                <w:highlight w:val="none"/>
                <w:u w:val="single"/>
              </w:rPr>
              <w:t xml:space="preserve">                </w:t>
            </w:r>
          </w:p>
        </w:tc>
      </w:tr>
      <w:tr w14:paraId="52E8A6DE">
        <w:tblPrEx>
          <w:tblCellMar>
            <w:top w:w="0" w:type="dxa"/>
            <w:left w:w="108" w:type="dxa"/>
            <w:bottom w:w="0" w:type="dxa"/>
            <w:right w:w="108" w:type="dxa"/>
          </w:tblCellMar>
        </w:tblPrEx>
        <w:trPr>
          <w:jc w:val="center"/>
        </w:trPr>
        <w:tc>
          <w:tcPr>
            <w:tcW w:w="5328" w:type="dxa"/>
          </w:tcPr>
          <w:p w14:paraId="0E250152">
            <w:pPr>
              <w:spacing w:line="360" w:lineRule="auto"/>
              <w:rPr>
                <w:rFonts w:hint="eastAsia" w:ascii="宋体" w:hAnsi="宋体" w:cs="宋体"/>
                <w:szCs w:val="21"/>
                <w:highlight w:val="none"/>
              </w:rPr>
            </w:pPr>
            <w:r>
              <w:rPr>
                <w:rFonts w:hint="eastAsia" w:ascii="宋体" w:hAnsi="宋体" w:cs="宋体"/>
                <w:szCs w:val="21"/>
                <w:highlight w:val="none"/>
              </w:rPr>
              <w:t>乙方：</w:t>
            </w:r>
            <w:r>
              <w:rPr>
                <w:rFonts w:hint="eastAsia" w:ascii="宋体" w:hAnsi="宋体" w:cs="宋体"/>
                <w:b/>
                <w:szCs w:val="21"/>
                <w:highlight w:val="none"/>
              </w:rPr>
              <w:t xml:space="preserve"> </w:t>
            </w:r>
          </w:p>
        </w:tc>
        <w:tc>
          <w:tcPr>
            <w:tcW w:w="3600" w:type="dxa"/>
          </w:tcPr>
          <w:p w14:paraId="3CB04F8D">
            <w:pPr>
              <w:spacing w:line="360" w:lineRule="auto"/>
              <w:rPr>
                <w:rFonts w:hint="eastAsia" w:ascii="宋体" w:hAnsi="宋体" w:cs="宋体"/>
                <w:szCs w:val="21"/>
                <w:highlight w:val="none"/>
              </w:rPr>
            </w:pPr>
            <w:r>
              <w:rPr>
                <w:rFonts w:hint="eastAsia" w:ascii="宋体" w:hAnsi="宋体" w:cs="宋体"/>
                <w:szCs w:val="21"/>
                <w:highlight w:val="none"/>
              </w:rPr>
              <w:t>协议编号：</w:t>
            </w:r>
            <w:bookmarkStart w:id="12" w:name="xy"/>
            <w:r>
              <w:rPr>
                <w:rFonts w:hint="eastAsia" w:ascii="宋体" w:hAnsi="宋体" w:cs="宋体"/>
                <w:szCs w:val="21"/>
                <w:highlight w:val="none"/>
                <w:u w:val="single"/>
              </w:rPr>
              <w:t xml:space="preserve">        </w:t>
            </w:r>
            <w:bookmarkEnd w:id="12"/>
            <w:r>
              <w:rPr>
                <w:rFonts w:hint="eastAsia" w:ascii="宋体" w:hAnsi="宋体" w:cs="宋体"/>
                <w:szCs w:val="21"/>
                <w:highlight w:val="none"/>
                <w:u w:val="single"/>
              </w:rPr>
              <w:t xml:space="preserve">        </w:t>
            </w:r>
          </w:p>
        </w:tc>
      </w:tr>
    </w:tbl>
    <w:p w14:paraId="425679E6">
      <w:pPr>
        <w:spacing w:line="360" w:lineRule="auto"/>
        <w:ind w:firstLine="420" w:firstLineChars="200"/>
        <w:rPr>
          <w:rFonts w:hint="eastAsia" w:ascii="宋体" w:hAnsi="宋体" w:cs="宋体"/>
          <w:szCs w:val="21"/>
          <w:highlight w:val="none"/>
        </w:rPr>
      </w:pPr>
    </w:p>
    <w:p w14:paraId="0A8F51F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经甲乙双方友好协商，就甲方向乙方购买进口</w:t>
      </w:r>
      <w:r>
        <w:rPr>
          <w:rFonts w:hint="eastAsia" w:ascii="宋体" w:hAnsi="宋体" w:cs="宋体"/>
          <w:szCs w:val="21"/>
          <w:highlight w:val="none"/>
          <w:u w:val="single"/>
        </w:rPr>
        <w:t xml:space="preserve">                 </w:t>
      </w:r>
      <w:r>
        <w:rPr>
          <w:rFonts w:hint="eastAsia" w:ascii="宋体" w:hAnsi="宋体" w:cs="宋体"/>
          <w:szCs w:val="21"/>
          <w:highlight w:val="none"/>
        </w:rPr>
        <w:t>及售后服务等事宜达成以下协议：</w:t>
      </w:r>
    </w:p>
    <w:p w14:paraId="37470E73">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第一条：</w:t>
      </w:r>
      <w:r>
        <w:rPr>
          <w:rFonts w:hint="eastAsia" w:ascii="宋体" w:hAnsi="宋体" w:cs="宋体"/>
          <w:szCs w:val="21"/>
          <w:highlight w:val="none"/>
        </w:rPr>
        <w:t>设备名称、型号规格、配置及技术指标要求、数量及成交价格</w:t>
      </w:r>
    </w:p>
    <w:tbl>
      <w:tblPr>
        <w:tblStyle w:val="45"/>
        <w:tblpPr w:leftFromText="180" w:rightFromText="180" w:vertAnchor="text" w:horzAnchor="page" w:tblpX="1709" w:tblpY="153"/>
        <w:tblOverlap w:val="never"/>
        <w:tblW w:w="8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762"/>
        <w:gridCol w:w="1063"/>
        <w:gridCol w:w="1775"/>
        <w:gridCol w:w="1388"/>
        <w:gridCol w:w="1804"/>
      </w:tblGrid>
      <w:tr w14:paraId="492FA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812" w:type="dxa"/>
            <w:vAlign w:val="center"/>
          </w:tcPr>
          <w:p w14:paraId="3C021656">
            <w:pPr>
              <w:spacing w:line="360" w:lineRule="auto"/>
              <w:ind w:firstLine="105" w:firstLineChars="50"/>
              <w:jc w:val="center"/>
              <w:rPr>
                <w:rFonts w:hint="eastAsia" w:ascii="宋体" w:hAnsi="宋体" w:cs="宋体"/>
                <w:szCs w:val="21"/>
                <w:highlight w:val="none"/>
              </w:rPr>
            </w:pPr>
            <w:r>
              <w:rPr>
                <w:rFonts w:hint="eastAsia" w:ascii="宋体" w:hAnsi="宋体" w:cs="宋体"/>
                <w:szCs w:val="21"/>
                <w:highlight w:val="none"/>
              </w:rPr>
              <w:t>序号</w:t>
            </w:r>
          </w:p>
        </w:tc>
        <w:tc>
          <w:tcPr>
            <w:tcW w:w="1762" w:type="dxa"/>
            <w:vAlign w:val="center"/>
          </w:tcPr>
          <w:p w14:paraId="371FC2CD">
            <w:pPr>
              <w:spacing w:line="360" w:lineRule="auto"/>
              <w:jc w:val="center"/>
              <w:rPr>
                <w:rFonts w:hint="eastAsia" w:ascii="宋体" w:hAnsi="宋体" w:cs="宋体"/>
                <w:szCs w:val="21"/>
                <w:highlight w:val="none"/>
              </w:rPr>
            </w:pPr>
            <w:r>
              <w:rPr>
                <w:rFonts w:hint="eastAsia" w:ascii="宋体" w:hAnsi="宋体" w:cs="宋体"/>
                <w:szCs w:val="21"/>
                <w:highlight w:val="none"/>
              </w:rPr>
              <w:t>设 备 名 称 \ 型 号</w:t>
            </w:r>
          </w:p>
        </w:tc>
        <w:tc>
          <w:tcPr>
            <w:tcW w:w="1063" w:type="dxa"/>
            <w:vAlign w:val="center"/>
          </w:tcPr>
          <w:p w14:paraId="5880F8FB">
            <w:pPr>
              <w:spacing w:line="360" w:lineRule="auto"/>
              <w:jc w:val="center"/>
              <w:rPr>
                <w:rFonts w:hint="eastAsia" w:ascii="宋体" w:hAnsi="宋体" w:cs="宋体"/>
                <w:szCs w:val="21"/>
                <w:highlight w:val="none"/>
              </w:rPr>
            </w:pPr>
            <w:r>
              <w:rPr>
                <w:rFonts w:hint="eastAsia" w:ascii="宋体" w:hAnsi="宋体" w:cs="宋体"/>
                <w:szCs w:val="21"/>
                <w:highlight w:val="none"/>
              </w:rPr>
              <w:t>数量</w:t>
            </w:r>
          </w:p>
        </w:tc>
        <w:tc>
          <w:tcPr>
            <w:tcW w:w="1775" w:type="dxa"/>
            <w:vAlign w:val="center"/>
          </w:tcPr>
          <w:p w14:paraId="66DC8C19">
            <w:pPr>
              <w:spacing w:line="360" w:lineRule="auto"/>
              <w:ind w:firstLine="210" w:firstLineChars="100"/>
              <w:jc w:val="center"/>
              <w:rPr>
                <w:rFonts w:hint="eastAsia" w:ascii="宋体" w:hAnsi="宋体" w:cs="宋体"/>
                <w:szCs w:val="21"/>
                <w:highlight w:val="none"/>
              </w:rPr>
            </w:pPr>
            <w:r>
              <w:rPr>
                <w:rFonts w:hint="eastAsia" w:ascii="宋体" w:hAnsi="宋体" w:cs="宋体"/>
                <w:szCs w:val="21"/>
                <w:highlight w:val="none"/>
              </w:rPr>
              <w:t>合同总价</w:t>
            </w:r>
          </w:p>
          <w:p w14:paraId="35F78FE5">
            <w:pPr>
              <w:spacing w:line="360" w:lineRule="auto"/>
              <w:jc w:val="center"/>
              <w:rPr>
                <w:rFonts w:hint="eastAsia" w:ascii="宋体" w:hAnsi="宋体" w:cs="宋体"/>
                <w:szCs w:val="21"/>
                <w:highlight w:val="none"/>
              </w:rPr>
            </w:pPr>
            <w:r>
              <w:rPr>
                <w:rFonts w:hint="eastAsia" w:ascii="宋体" w:hAnsi="宋体" w:cs="宋体"/>
                <w:szCs w:val="21"/>
                <w:highlight w:val="none"/>
              </w:rPr>
              <w:t>（人民币）</w:t>
            </w:r>
          </w:p>
        </w:tc>
        <w:tc>
          <w:tcPr>
            <w:tcW w:w="1388" w:type="dxa"/>
            <w:vAlign w:val="center"/>
          </w:tcPr>
          <w:p w14:paraId="755824D9">
            <w:pPr>
              <w:jc w:val="center"/>
              <w:rPr>
                <w:rFonts w:hint="eastAsia" w:ascii="宋体" w:hAnsi="宋体" w:cs="宋体"/>
                <w:szCs w:val="21"/>
                <w:highlight w:val="none"/>
              </w:rPr>
            </w:pPr>
            <w:r>
              <w:rPr>
                <w:rFonts w:hint="eastAsia" w:ascii="宋体" w:hAnsi="宋体" w:cs="宋体"/>
                <w:szCs w:val="21"/>
                <w:highlight w:val="none"/>
              </w:rPr>
              <w:t>生产厂家</w:t>
            </w:r>
          </w:p>
        </w:tc>
        <w:tc>
          <w:tcPr>
            <w:tcW w:w="1804" w:type="dxa"/>
            <w:vAlign w:val="center"/>
          </w:tcPr>
          <w:p w14:paraId="518A7ECF">
            <w:pPr>
              <w:spacing w:line="360" w:lineRule="auto"/>
              <w:ind w:firstLine="105" w:firstLineChars="50"/>
              <w:jc w:val="center"/>
              <w:rPr>
                <w:rFonts w:hint="eastAsia" w:ascii="宋体" w:hAnsi="宋体" w:cs="宋体"/>
                <w:szCs w:val="21"/>
                <w:highlight w:val="none"/>
              </w:rPr>
            </w:pPr>
            <w:r>
              <w:rPr>
                <w:rFonts w:hint="eastAsia" w:ascii="宋体" w:hAnsi="宋体" w:cs="宋体"/>
                <w:szCs w:val="21"/>
                <w:highlight w:val="none"/>
              </w:rPr>
              <w:t>生产地</w:t>
            </w:r>
          </w:p>
        </w:tc>
      </w:tr>
      <w:tr w14:paraId="6E831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45177414">
            <w:pPr>
              <w:jc w:val="center"/>
              <w:rPr>
                <w:rFonts w:hint="eastAsia" w:ascii="宋体" w:hAnsi="宋体" w:cs="宋体"/>
                <w:szCs w:val="21"/>
                <w:highlight w:val="none"/>
              </w:rPr>
            </w:pPr>
            <w:r>
              <w:rPr>
                <w:rFonts w:hint="eastAsia" w:ascii="宋体" w:hAnsi="宋体" w:cs="宋体"/>
                <w:szCs w:val="21"/>
                <w:highlight w:val="none"/>
              </w:rPr>
              <w:t>1</w:t>
            </w:r>
          </w:p>
        </w:tc>
        <w:tc>
          <w:tcPr>
            <w:tcW w:w="1762" w:type="dxa"/>
            <w:vAlign w:val="center"/>
          </w:tcPr>
          <w:p w14:paraId="2FCD03B3">
            <w:pPr>
              <w:jc w:val="center"/>
              <w:rPr>
                <w:rFonts w:hint="eastAsia" w:ascii="宋体" w:hAnsi="宋体" w:cs="宋体"/>
                <w:szCs w:val="21"/>
                <w:highlight w:val="none"/>
              </w:rPr>
            </w:pPr>
          </w:p>
        </w:tc>
        <w:tc>
          <w:tcPr>
            <w:tcW w:w="1063" w:type="dxa"/>
            <w:vAlign w:val="center"/>
          </w:tcPr>
          <w:p w14:paraId="6713BB19">
            <w:pPr>
              <w:jc w:val="center"/>
              <w:rPr>
                <w:rFonts w:hint="eastAsia" w:ascii="宋体" w:hAnsi="宋体" w:cs="宋体"/>
                <w:szCs w:val="21"/>
                <w:highlight w:val="none"/>
              </w:rPr>
            </w:pPr>
          </w:p>
        </w:tc>
        <w:tc>
          <w:tcPr>
            <w:tcW w:w="1775" w:type="dxa"/>
            <w:vAlign w:val="center"/>
          </w:tcPr>
          <w:p w14:paraId="7AFD9C73">
            <w:pPr>
              <w:jc w:val="center"/>
              <w:rPr>
                <w:rFonts w:hint="eastAsia" w:ascii="宋体" w:hAnsi="宋体" w:cs="宋体"/>
                <w:szCs w:val="21"/>
                <w:highlight w:val="none"/>
              </w:rPr>
            </w:pPr>
          </w:p>
        </w:tc>
        <w:tc>
          <w:tcPr>
            <w:tcW w:w="1388" w:type="dxa"/>
            <w:vAlign w:val="center"/>
          </w:tcPr>
          <w:p w14:paraId="6E67D6F8">
            <w:pPr>
              <w:jc w:val="center"/>
              <w:rPr>
                <w:rFonts w:hint="eastAsia" w:ascii="宋体" w:hAnsi="宋体" w:cs="宋体"/>
                <w:szCs w:val="21"/>
                <w:highlight w:val="none"/>
              </w:rPr>
            </w:pPr>
          </w:p>
        </w:tc>
        <w:tc>
          <w:tcPr>
            <w:tcW w:w="1804" w:type="dxa"/>
            <w:vAlign w:val="center"/>
          </w:tcPr>
          <w:p w14:paraId="20AED737">
            <w:pPr>
              <w:tabs>
                <w:tab w:val="left" w:pos="792"/>
              </w:tabs>
              <w:spacing w:line="360" w:lineRule="auto"/>
              <w:ind w:right="-52"/>
              <w:jc w:val="center"/>
              <w:rPr>
                <w:rFonts w:hint="eastAsia" w:ascii="宋体" w:hAnsi="宋体" w:cs="宋体"/>
                <w:szCs w:val="21"/>
                <w:highlight w:val="none"/>
              </w:rPr>
            </w:pPr>
          </w:p>
        </w:tc>
      </w:tr>
      <w:tr w14:paraId="2F96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6A99D59">
            <w:pPr>
              <w:jc w:val="center"/>
              <w:rPr>
                <w:rFonts w:hint="eastAsia" w:ascii="宋体" w:hAnsi="宋体" w:cs="宋体"/>
                <w:szCs w:val="21"/>
                <w:highlight w:val="none"/>
              </w:rPr>
            </w:pPr>
            <w:r>
              <w:rPr>
                <w:rFonts w:hint="eastAsia" w:ascii="宋体" w:hAnsi="宋体" w:cs="宋体"/>
                <w:szCs w:val="21"/>
                <w:highlight w:val="none"/>
              </w:rPr>
              <w:t>2</w:t>
            </w:r>
          </w:p>
        </w:tc>
        <w:tc>
          <w:tcPr>
            <w:tcW w:w="1762" w:type="dxa"/>
            <w:vAlign w:val="center"/>
          </w:tcPr>
          <w:p w14:paraId="240620E5">
            <w:pPr>
              <w:jc w:val="center"/>
              <w:rPr>
                <w:rFonts w:hint="eastAsia" w:ascii="宋体" w:hAnsi="宋体" w:cs="宋体"/>
                <w:szCs w:val="21"/>
                <w:highlight w:val="none"/>
              </w:rPr>
            </w:pPr>
          </w:p>
        </w:tc>
        <w:tc>
          <w:tcPr>
            <w:tcW w:w="1063" w:type="dxa"/>
            <w:vAlign w:val="center"/>
          </w:tcPr>
          <w:p w14:paraId="1A28C88F">
            <w:pPr>
              <w:jc w:val="center"/>
              <w:rPr>
                <w:rFonts w:hint="eastAsia" w:ascii="宋体" w:hAnsi="宋体" w:cs="宋体"/>
                <w:szCs w:val="21"/>
                <w:highlight w:val="none"/>
              </w:rPr>
            </w:pPr>
          </w:p>
        </w:tc>
        <w:tc>
          <w:tcPr>
            <w:tcW w:w="1775" w:type="dxa"/>
            <w:vAlign w:val="center"/>
          </w:tcPr>
          <w:p w14:paraId="29A2E7D9">
            <w:pPr>
              <w:jc w:val="center"/>
              <w:rPr>
                <w:rFonts w:hint="eastAsia" w:ascii="宋体" w:hAnsi="宋体" w:cs="宋体"/>
                <w:szCs w:val="21"/>
                <w:highlight w:val="none"/>
              </w:rPr>
            </w:pPr>
          </w:p>
        </w:tc>
        <w:tc>
          <w:tcPr>
            <w:tcW w:w="1388" w:type="dxa"/>
            <w:vAlign w:val="center"/>
          </w:tcPr>
          <w:p w14:paraId="69A537C3">
            <w:pPr>
              <w:jc w:val="center"/>
              <w:rPr>
                <w:rFonts w:hint="eastAsia" w:ascii="宋体" w:hAnsi="宋体" w:cs="宋体"/>
                <w:szCs w:val="21"/>
                <w:highlight w:val="none"/>
              </w:rPr>
            </w:pPr>
          </w:p>
        </w:tc>
        <w:tc>
          <w:tcPr>
            <w:tcW w:w="1804" w:type="dxa"/>
            <w:vAlign w:val="center"/>
          </w:tcPr>
          <w:p w14:paraId="02591C12">
            <w:pPr>
              <w:tabs>
                <w:tab w:val="left" w:pos="792"/>
              </w:tabs>
              <w:spacing w:line="360" w:lineRule="auto"/>
              <w:ind w:right="-52"/>
              <w:jc w:val="center"/>
              <w:rPr>
                <w:rFonts w:hint="eastAsia" w:ascii="宋体" w:hAnsi="宋体" w:cs="宋体"/>
                <w:szCs w:val="21"/>
                <w:highlight w:val="none"/>
              </w:rPr>
            </w:pPr>
          </w:p>
        </w:tc>
      </w:tr>
      <w:tr w14:paraId="7763C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C7B2B80">
            <w:pPr>
              <w:jc w:val="center"/>
              <w:rPr>
                <w:rFonts w:hint="eastAsia" w:ascii="宋体" w:hAnsi="宋体" w:cs="宋体"/>
                <w:szCs w:val="21"/>
                <w:highlight w:val="none"/>
              </w:rPr>
            </w:pPr>
            <w:r>
              <w:rPr>
                <w:rFonts w:hint="eastAsia" w:ascii="宋体" w:hAnsi="宋体" w:cs="宋体"/>
                <w:szCs w:val="21"/>
                <w:highlight w:val="none"/>
              </w:rPr>
              <w:t>3</w:t>
            </w:r>
          </w:p>
        </w:tc>
        <w:tc>
          <w:tcPr>
            <w:tcW w:w="1762" w:type="dxa"/>
            <w:vAlign w:val="center"/>
          </w:tcPr>
          <w:p w14:paraId="5C40ADEE">
            <w:pPr>
              <w:jc w:val="center"/>
              <w:rPr>
                <w:rFonts w:hint="eastAsia" w:ascii="宋体" w:hAnsi="宋体" w:cs="宋体"/>
                <w:szCs w:val="21"/>
                <w:highlight w:val="none"/>
              </w:rPr>
            </w:pPr>
          </w:p>
        </w:tc>
        <w:tc>
          <w:tcPr>
            <w:tcW w:w="1063" w:type="dxa"/>
            <w:vAlign w:val="center"/>
          </w:tcPr>
          <w:p w14:paraId="385D7AE6">
            <w:pPr>
              <w:jc w:val="center"/>
              <w:rPr>
                <w:rFonts w:hint="eastAsia" w:ascii="宋体" w:hAnsi="宋体" w:cs="宋体"/>
                <w:szCs w:val="21"/>
                <w:highlight w:val="none"/>
              </w:rPr>
            </w:pPr>
          </w:p>
        </w:tc>
        <w:tc>
          <w:tcPr>
            <w:tcW w:w="1775" w:type="dxa"/>
            <w:vAlign w:val="center"/>
          </w:tcPr>
          <w:p w14:paraId="7540918F">
            <w:pPr>
              <w:jc w:val="center"/>
              <w:rPr>
                <w:rFonts w:hint="eastAsia" w:ascii="宋体" w:hAnsi="宋体" w:cs="宋体"/>
                <w:szCs w:val="21"/>
                <w:highlight w:val="none"/>
              </w:rPr>
            </w:pPr>
          </w:p>
        </w:tc>
        <w:tc>
          <w:tcPr>
            <w:tcW w:w="1388" w:type="dxa"/>
            <w:vAlign w:val="center"/>
          </w:tcPr>
          <w:p w14:paraId="491D0A24">
            <w:pPr>
              <w:jc w:val="center"/>
              <w:rPr>
                <w:rFonts w:hint="eastAsia" w:ascii="宋体" w:hAnsi="宋体" w:cs="宋体"/>
                <w:szCs w:val="21"/>
                <w:highlight w:val="none"/>
              </w:rPr>
            </w:pPr>
          </w:p>
        </w:tc>
        <w:tc>
          <w:tcPr>
            <w:tcW w:w="1804" w:type="dxa"/>
            <w:vAlign w:val="center"/>
          </w:tcPr>
          <w:p w14:paraId="7A1AF632">
            <w:pPr>
              <w:tabs>
                <w:tab w:val="left" w:pos="792"/>
              </w:tabs>
              <w:spacing w:line="360" w:lineRule="auto"/>
              <w:ind w:right="-52"/>
              <w:jc w:val="center"/>
              <w:rPr>
                <w:rFonts w:hint="eastAsia" w:ascii="宋体" w:hAnsi="宋体" w:cs="宋体"/>
                <w:szCs w:val="21"/>
                <w:highlight w:val="none"/>
              </w:rPr>
            </w:pPr>
          </w:p>
        </w:tc>
      </w:tr>
      <w:tr w14:paraId="41537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496F1D7C">
            <w:pPr>
              <w:jc w:val="center"/>
              <w:rPr>
                <w:rFonts w:hint="eastAsia" w:ascii="宋体" w:hAnsi="宋体" w:cs="宋体"/>
                <w:szCs w:val="21"/>
                <w:highlight w:val="none"/>
              </w:rPr>
            </w:pPr>
            <w:r>
              <w:rPr>
                <w:rFonts w:hint="eastAsia" w:ascii="宋体" w:hAnsi="宋体" w:cs="宋体"/>
                <w:szCs w:val="21"/>
                <w:highlight w:val="none"/>
              </w:rPr>
              <w:t>4</w:t>
            </w:r>
          </w:p>
        </w:tc>
        <w:tc>
          <w:tcPr>
            <w:tcW w:w="1762" w:type="dxa"/>
            <w:vAlign w:val="center"/>
          </w:tcPr>
          <w:p w14:paraId="46CAF198">
            <w:pPr>
              <w:jc w:val="center"/>
              <w:rPr>
                <w:rFonts w:hint="eastAsia" w:ascii="宋体" w:hAnsi="宋体" w:cs="宋体"/>
                <w:szCs w:val="21"/>
                <w:highlight w:val="none"/>
              </w:rPr>
            </w:pPr>
          </w:p>
        </w:tc>
        <w:tc>
          <w:tcPr>
            <w:tcW w:w="1063" w:type="dxa"/>
            <w:vAlign w:val="center"/>
          </w:tcPr>
          <w:p w14:paraId="72A31BFF">
            <w:pPr>
              <w:jc w:val="center"/>
              <w:rPr>
                <w:rFonts w:hint="eastAsia" w:ascii="宋体" w:hAnsi="宋体" w:cs="宋体"/>
                <w:szCs w:val="21"/>
                <w:highlight w:val="none"/>
              </w:rPr>
            </w:pPr>
          </w:p>
        </w:tc>
        <w:tc>
          <w:tcPr>
            <w:tcW w:w="1775" w:type="dxa"/>
            <w:vAlign w:val="center"/>
          </w:tcPr>
          <w:p w14:paraId="76760649">
            <w:pPr>
              <w:jc w:val="center"/>
              <w:rPr>
                <w:rFonts w:hint="eastAsia" w:ascii="宋体" w:hAnsi="宋体" w:cs="宋体"/>
                <w:szCs w:val="21"/>
                <w:highlight w:val="none"/>
              </w:rPr>
            </w:pPr>
          </w:p>
        </w:tc>
        <w:tc>
          <w:tcPr>
            <w:tcW w:w="1388" w:type="dxa"/>
            <w:vAlign w:val="center"/>
          </w:tcPr>
          <w:p w14:paraId="28DC1A14">
            <w:pPr>
              <w:jc w:val="center"/>
              <w:rPr>
                <w:rFonts w:hint="eastAsia" w:ascii="宋体" w:hAnsi="宋体" w:cs="宋体"/>
                <w:szCs w:val="21"/>
                <w:highlight w:val="none"/>
              </w:rPr>
            </w:pPr>
          </w:p>
        </w:tc>
        <w:tc>
          <w:tcPr>
            <w:tcW w:w="1804" w:type="dxa"/>
            <w:vAlign w:val="center"/>
          </w:tcPr>
          <w:p w14:paraId="1EE138F9">
            <w:pPr>
              <w:tabs>
                <w:tab w:val="left" w:pos="792"/>
              </w:tabs>
              <w:spacing w:line="360" w:lineRule="auto"/>
              <w:ind w:right="-52"/>
              <w:jc w:val="center"/>
              <w:rPr>
                <w:rFonts w:hint="eastAsia" w:ascii="宋体" w:hAnsi="宋体" w:cs="宋体"/>
                <w:szCs w:val="21"/>
                <w:highlight w:val="none"/>
              </w:rPr>
            </w:pPr>
          </w:p>
        </w:tc>
      </w:tr>
      <w:tr w14:paraId="7F7AF8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812" w:type="dxa"/>
            <w:vAlign w:val="center"/>
          </w:tcPr>
          <w:p w14:paraId="3AC05A89">
            <w:pPr>
              <w:jc w:val="center"/>
              <w:rPr>
                <w:rFonts w:hint="eastAsia" w:ascii="宋体" w:hAnsi="宋体" w:cs="宋体"/>
                <w:szCs w:val="21"/>
                <w:highlight w:val="none"/>
              </w:rPr>
            </w:pPr>
            <w:r>
              <w:rPr>
                <w:rFonts w:hint="eastAsia" w:ascii="宋体" w:hAnsi="宋体" w:cs="宋体"/>
                <w:szCs w:val="21"/>
                <w:highlight w:val="none"/>
              </w:rPr>
              <w:t>5</w:t>
            </w:r>
          </w:p>
        </w:tc>
        <w:tc>
          <w:tcPr>
            <w:tcW w:w="1762" w:type="dxa"/>
            <w:vAlign w:val="center"/>
          </w:tcPr>
          <w:p w14:paraId="005DFA10">
            <w:pPr>
              <w:jc w:val="center"/>
              <w:rPr>
                <w:rFonts w:hint="eastAsia" w:ascii="宋体" w:hAnsi="宋体" w:cs="宋体"/>
                <w:szCs w:val="21"/>
                <w:highlight w:val="none"/>
              </w:rPr>
            </w:pPr>
          </w:p>
        </w:tc>
        <w:tc>
          <w:tcPr>
            <w:tcW w:w="1063" w:type="dxa"/>
            <w:vAlign w:val="center"/>
          </w:tcPr>
          <w:p w14:paraId="304EE572">
            <w:pPr>
              <w:jc w:val="center"/>
              <w:rPr>
                <w:rFonts w:hint="eastAsia" w:ascii="宋体" w:hAnsi="宋体" w:cs="宋体"/>
                <w:szCs w:val="21"/>
                <w:highlight w:val="none"/>
              </w:rPr>
            </w:pPr>
          </w:p>
        </w:tc>
        <w:tc>
          <w:tcPr>
            <w:tcW w:w="1775" w:type="dxa"/>
            <w:vAlign w:val="center"/>
          </w:tcPr>
          <w:p w14:paraId="5DC511A4">
            <w:pPr>
              <w:jc w:val="center"/>
              <w:rPr>
                <w:rFonts w:hint="eastAsia" w:ascii="宋体" w:hAnsi="宋体" w:cs="宋体"/>
                <w:szCs w:val="21"/>
                <w:highlight w:val="none"/>
              </w:rPr>
            </w:pPr>
          </w:p>
        </w:tc>
        <w:tc>
          <w:tcPr>
            <w:tcW w:w="1388" w:type="dxa"/>
            <w:vAlign w:val="center"/>
          </w:tcPr>
          <w:p w14:paraId="6C42B6E3">
            <w:pPr>
              <w:jc w:val="center"/>
              <w:rPr>
                <w:rFonts w:hint="eastAsia" w:ascii="宋体" w:hAnsi="宋体" w:cs="宋体"/>
                <w:szCs w:val="21"/>
                <w:highlight w:val="none"/>
              </w:rPr>
            </w:pPr>
          </w:p>
        </w:tc>
        <w:tc>
          <w:tcPr>
            <w:tcW w:w="1804" w:type="dxa"/>
            <w:vAlign w:val="center"/>
          </w:tcPr>
          <w:p w14:paraId="566F1B66">
            <w:pPr>
              <w:tabs>
                <w:tab w:val="left" w:pos="792"/>
              </w:tabs>
              <w:spacing w:line="360" w:lineRule="auto"/>
              <w:ind w:right="-52"/>
              <w:jc w:val="center"/>
              <w:rPr>
                <w:rFonts w:hint="eastAsia" w:ascii="宋体" w:hAnsi="宋体" w:cs="宋体"/>
                <w:szCs w:val="21"/>
                <w:highlight w:val="none"/>
              </w:rPr>
            </w:pPr>
          </w:p>
        </w:tc>
      </w:tr>
    </w:tbl>
    <w:p w14:paraId="2B9BA47C">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第二条：</w:t>
      </w:r>
      <w:r>
        <w:rPr>
          <w:rFonts w:hint="eastAsia" w:ascii="宋体" w:hAnsi="宋体" w:cs="宋体"/>
          <w:szCs w:val="21"/>
          <w:highlight w:val="none"/>
        </w:rPr>
        <w:t>交货期</w:t>
      </w:r>
    </w:p>
    <w:p w14:paraId="0D01F13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签订外贸合同之日起_________周内设备到达南京邮电大学项目现场。</w:t>
      </w:r>
    </w:p>
    <w:p w14:paraId="1E8F2EA9">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第三条：</w:t>
      </w:r>
      <w:r>
        <w:rPr>
          <w:rFonts w:hint="eastAsia" w:ascii="宋体" w:hAnsi="宋体" w:cs="宋体"/>
          <w:szCs w:val="21"/>
          <w:highlight w:val="none"/>
        </w:rPr>
        <w:t xml:space="preserve">付款方式及条件 </w:t>
      </w:r>
    </w:p>
    <w:p w14:paraId="75FDC9E8">
      <w:pPr>
        <w:pStyle w:val="16"/>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甲方委托的外贸代理公司</w:t>
      </w:r>
      <w:r>
        <w:rPr>
          <w:rFonts w:hint="eastAsia" w:ascii="宋体" w:hAnsi="宋体" w:cs="宋体"/>
          <w:szCs w:val="21"/>
          <w:highlight w:val="none"/>
          <w:u w:val="single"/>
        </w:rPr>
        <w:t xml:space="preserve">                 </w:t>
      </w:r>
      <w:r>
        <w:rPr>
          <w:rFonts w:hint="eastAsia" w:ascii="宋体" w:hAnsi="宋体" w:cs="宋体"/>
          <w:szCs w:val="21"/>
          <w:highlight w:val="none"/>
        </w:rPr>
        <w:t>向乙方委托的公司/制造商</w:t>
      </w:r>
      <w:r>
        <w:rPr>
          <w:rFonts w:hint="eastAsia" w:ascii="宋体" w:hAnsi="宋体" w:cs="宋体"/>
          <w:szCs w:val="21"/>
          <w:highlight w:val="none"/>
          <w:u w:val="single"/>
        </w:rPr>
        <w:t xml:space="preserve">                 </w:t>
      </w:r>
      <w:r>
        <w:rPr>
          <w:rFonts w:hint="eastAsia" w:ascii="宋体" w:hAnsi="宋体" w:cs="宋体"/>
          <w:szCs w:val="21"/>
          <w:highlight w:val="none"/>
        </w:rPr>
        <w:t>直接支付款项，受甲方委托的外贸代理公司按以下方式支付货款：预算金额10万元人民币以上（含10）的货物，货款分两次付清，第一次付款为总金额的90% （厂家发货后，乙方可凭装运单据兑付合同总金额的90%信用证(L/C），如货物自装运日起两个月内未能到达约定目的地的，乙方应在甲方发出书面通知后的五个工作日内，无条件向甲方全额退还已收取的合同款项，本条款不影响甲方因乙方迟延交货享有的其他合同权利），第二次付款待设备验收合格后运行一个月无故障，经甲方用户书面确认后15天内付清（T/T）。</w:t>
      </w:r>
    </w:p>
    <w:p w14:paraId="2437B22F">
      <w:pPr>
        <w:pStyle w:val="16"/>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第四条：</w:t>
      </w:r>
      <w:r>
        <w:rPr>
          <w:rFonts w:hint="eastAsia" w:ascii="宋体" w:hAnsi="宋体" w:cs="宋体"/>
          <w:szCs w:val="21"/>
          <w:highlight w:val="none"/>
        </w:rPr>
        <w:t>原产地、生产商与运输方式及包装。</w:t>
      </w:r>
    </w:p>
    <w:p w14:paraId="07BB73F1">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原产地： </w:t>
      </w:r>
    </w:p>
    <w:p w14:paraId="3D5BA73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生产商： </w:t>
      </w:r>
    </w:p>
    <w:p w14:paraId="002B9BF7">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 xml:space="preserve">发货港： </w:t>
      </w:r>
    </w:p>
    <w:p w14:paraId="240B0D2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运输方式：</w:t>
      </w:r>
      <w:r>
        <w:rPr>
          <w:rFonts w:hint="eastAsia" w:ascii="宋体" w:hAnsi="宋体" w:cs="宋体"/>
          <w:szCs w:val="21"/>
          <w:highlight w:val="none"/>
          <w:u w:val="single"/>
        </w:rPr>
        <w:t xml:space="preserve">  空运   </w:t>
      </w:r>
      <w:r>
        <w:rPr>
          <w:rFonts w:hint="eastAsia" w:ascii="宋体" w:hAnsi="宋体" w:cs="宋体"/>
          <w:szCs w:val="21"/>
          <w:highlight w:val="none"/>
        </w:rPr>
        <w:t>。货物从发送地至南京机场的运费及保险费由乙方承担。乙方负责为交运设备投保合同总价110%的空运保险。南京机场至南京邮电大学项目现场的部分由甲方指定的外贸公司代为运输。</w:t>
      </w:r>
    </w:p>
    <w:p w14:paraId="570544E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到货港：南京机场。</w:t>
      </w:r>
    </w:p>
    <w:p w14:paraId="003113B6">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包装：提供货物的包装需适合远距离的海运/包裹邮递/空运和气候的变化，能防护野蛮装卸、潮湿、雨淋、腐蚀、震动和冷冻。</w:t>
      </w:r>
    </w:p>
    <w:p w14:paraId="75CDCCA9">
      <w:pPr>
        <w:spacing w:line="360" w:lineRule="auto"/>
        <w:ind w:firstLine="422" w:firstLineChars="200"/>
        <w:rPr>
          <w:rFonts w:hint="eastAsia" w:ascii="宋体" w:hAnsi="宋体" w:cs="宋体"/>
          <w:szCs w:val="21"/>
          <w:highlight w:val="none"/>
        </w:rPr>
      </w:pPr>
      <w:r>
        <w:rPr>
          <w:rFonts w:hint="eastAsia" w:ascii="宋体" w:hAnsi="宋体" w:cs="宋体"/>
          <w:b/>
          <w:bCs/>
          <w:szCs w:val="21"/>
          <w:highlight w:val="none"/>
        </w:rPr>
        <w:t>第五条：</w:t>
      </w:r>
      <w:r>
        <w:rPr>
          <w:rFonts w:hint="eastAsia" w:ascii="宋体" w:hAnsi="宋体" w:cs="宋体"/>
          <w:bCs/>
          <w:szCs w:val="21"/>
          <w:highlight w:val="none"/>
        </w:rPr>
        <w:t>外贸合同签订方：</w:t>
      </w:r>
      <w:r>
        <w:rPr>
          <w:rFonts w:hint="eastAsia" w:ascii="宋体" w:hAnsi="宋体" w:cs="宋体"/>
          <w:szCs w:val="21"/>
          <w:highlight w:val="none"/>
        </w:rPr>
        <w:t xml:space="preserve"> </w:t>
      </w:r>
    </w:p>
    <w:p w14:paraId="73315B4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乙方的代理（中英文名）、地址</w:t>
      </w:r>
    </w:p>
    <w:p w14:paraId="478823B0">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第六条：</w:t>
      </w:r>
      <w:r>
        <w:rPr>
          <w:rFonts w:hint="eastAsia" w:ascii="宋体" w:hAnsi="宋体" w:cs="宋体"/>
          <w:szCs w:val="21"/>
          <w:highlight w:val="none"/>
        </w:rPr>
        <w:t>乙方应在交货时同时向甲方提供与本合同项下货物相符且完整的技术资料。</w:t>
      </w:r>
    </w:p>
    <w:p w14:paraId="4CCDEFE0">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第七条：</w:t>
      </w:r>
      <w:r>
        <w:rPr>
          <w:rFonts w:hint="eastAsia" w:ascii="宋体" w:hAnsi="宋体" w:cs="宋体"/>
          <w:szCs w:val="21"/>
          <w:highlight w:val="none"/>
        </w:rPr>
        <w:t>质量保证与售后服务</w:t>
      </w:r>
    </w:p>
    <w:p w14:paraId="13785585">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1.乙方保证供应的设备完全符合本协议所规定的原生产厂商所规定的质量、规格、性能和技术指标，确保该产品为全新未使用过的仪器，否则允许甲方退货或应保证更换并向甲方支付相关损失。</w:t>
      </w:r>
    </w:p>
    <w:p w14:paraId="0A758D7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2.设备的免费质保期为交货经验收合格后</w:t>
      </w:r>
      <w:r>
        <w:rPr>
          <w:rFonts w:hint="eastAsia" w:ascii="宋体" w:hAnsi="宋体" w:cs="宋体"/>
          <w:szCs w:val="21"/>
          <w:highlight w:val="none"/>
          <w:u w:val="single"/>
        </w:rPr>
        <w:t xml:space="preserve">     </w:t>
      </w:r>
      <w:r>
        <w:rPr>
          <w:rFonts w:hint="eastAsia" w:ascii="宋体" w:hAnsi="宋体" w:cs="宋体"/>
          <w:szCs w:val="21"/>
          <w:highlight w:val="none"/>
        </w:rPr>
        <w:t>个月。</w:t>
      </w:r>
    </w:p>
    <w:p w14:paraId="5ABFA50D">
      <w:pPr>
        <w:spacing w:line="360" w:lineRule="auto"/>
        <w:ind w:firstLine="420" w:firstLineChars="200"/>
        <w:rPr>
          <w:rFonts w:hint="eastAsia" w:ascii="宋体" w:hAnsi="宋体" w:cs="宋体"/>
          <w:bCs/>
          <w:szCs w:val="21"/>
          <w:highlight w:val="none"/>
        </w:rPr>
      </w:pPr>
      <w:r>
        <w:rPr>
          <w:rFonts w:hint="eastAsia" w:ascii="宋体" w:hAnsi="宋体" w:cs="宋体"/>
          <w:szCs w:val="21"/>
          <w:highlight w:val="none"/>
        </w:rPr>
        <w:t>3.乙方在接到甲方用户故障通知后</w:t>
      </w:r>
      <w:r>
        <w:rPr>
          <w:rFonts w:hint="eastAsia" w:ascii="宋体" w:hAnsi="宋体" w:cs="宋体"/>
          <w:szCs w:val="21"/>
          <w:highlight w:val="none"/>
          <w:u w:val="single"/>
        </w:rPr>
        <w:t xml:space="preserve">     </w:t>
      </w:r>
      <w:r>
        <w:rPr>
          <w:rFonts w:hint="eastAsia" w:ascii="宋体" w:hAnsi="宋体" w:cs="宋体"/>
          <w:szCs w:val="21"/>
          <w:highlight w:val="none"/>
        </w:rPr>
        <w:t>小时内作出响应</w:t>
      </w:r>
      <w:r>
        <w:rPr>
          <w:rFonts w:hint="eastAsia" w:ascii="宋体" w:hAnsi="宋体" w:cs="宋体"/>
          <w:bCs/>
          <w:szCs w:val="21"/>
          <w:highlight w:val="none"/>
        </w:rPr>
        <w:t xml:space="preserve">。 </w:t>
      </w:r>
    </w:p>
    <w:p w14:paraId="052BD9BD">
      <w:pPr>
        <w:spacing w:line="360" w:lineRule="auto"/>
        <w:ind w:firstLine="420" w:firstLineChars="200"/>
        <w:rPr>
          <w:rFonts w:hint="eastAsia" w:ascii="宋体" w:hAnsi="宋体" w:cs="宋体"/>
          <w:szCs w:val="21"/>
          <w:highlight w:val="none"/>
        </w:rPr>
      </w:pPr>
      <w:r>
        <w:rPr>
          <w:rFonts w:hint="eastAsia" w:ascii="宋体" w:hAnsi="宋体" w:cs="宋体"/>
          <w:bCs/>
          <w:szCs w:val="21"/>
          <w:highlight w:val="none"/>
        </w:rPr>
        <w:t>4.乙方违反质量保证和售后服务条款，甲方可要求合同金额5%的违约金。</w:t>
      </w:r>
    </w:p>
    <w:p w14:paraId="7E4CDE5B">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第八条：</w:t>
      </w:r>
      <w:r>
        <w:rPr>
          <w:rFonts w:hint="eastAsia" w:ascii="宋体" w:hAnsi="宋体" w:cs="宋体"/>
          <w:szCs w:val="21"/>
          <w:highlight w:val="none"/>
        </w:rPr>
        <w:t>安装调试及验收</w:t>
      </w:r>
    </w:p>
    <w:p w14:paraId="65FB39D3">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1.乙方在仪器设备抵达甲方</w:t>
      </w:r>
      <w:r>
        <w:rPr>
          <w:rFonts w:hint="eastAsia" w:ascii="宋体" w:hAnsi="宋体" w:cs="宋体"/>
          <w:szCs w:val="21"/>
          <w:highlight w:val="none"/>
          <w:u w:val="single"/>
        </w:rPr>
        <w:t>20</w:t>
      </w:r>
      <w:r>
        <w:rPr>
          <w:rFonts w:hint="eastAsia" w:ascii="宋体" w:hAnsi="宋体" w:cs="宋体"/>
          <w:szCs w:val="21"/>
          <w:highlight w:val="none"/>
        </w:rPr>
        <w:t>个工作日前书面通知甲方设备安装所需条件，以利设备的正常安装调试。</w:t>
      </w:r>
    </w:p>
    <w:p w14:paraId="71E63BBA">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288E33E0">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268E207">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第九条：</w:t>
      </w:r>
      <w:r>
        <w:rPr>
          <w:rFonts w:hint="eastAsia" w:ascii="宋体" w:hAnsi="宋体" w:cs="宋体"/>
          <w:szCs w:val="21"/>
          <w:highlight w:val="none"/>
        </w:rPr>
        <w:t>不可抗力：由于生产或运输期间遇到的地震、台风、洪水等自然灾害及战争、政变等不可抗力引起的延期发货，乙方不需支付延误交货罚金。乙方应在上述不可抗力发生后14日以内书面通知甲方。</w:t>
      </w:r>
    </w:p>
    <w:p w14:paraId="3CB41596">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第十条：</w:t>
      </w:r>
      <w:r>
        <w:rPr>
          <w:rFonts w:hint="eastAsia" w:ascii="宋体" w:hAnsi="宋体" w:cs="宋体"/>
          <w:szCs w:val="21"/>
          <w:highlight w:val="none"/>
        </w:rPr>
        <w:t>违约责任</w:t>
      </w:r>
    </w:p>
    <w:p w14:paraId="63ACFCD2">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1.乙方未能交付物品，则向甲方支付合同总额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7E6C029D">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2.乙方交付的物品不符合合同规定的，甲方有权拒收，乙方向甲方支付合同总额</w:t>
      </w:r>
      <w:r>
        <w:rPr>
          <w:rFonts w:hint="eastAsia" w:ascii="宋体" w:hAnsi="宋体" w:cs="宋体"/>
          <w:b/>
          <w:szCs w:val="21"/>
          <w:highlight w:val="none"/>
          <w:u w:val="words"/>
        </w:rPr>
        <w:t>5%</w:t>
      </w:r>
      <w:r>
        <w:rPr>
          <w:rFonts w:hint="eastAsia" w:ascii="宋体" w:hAnsi="宋体" w:cs="宋体"/>
          <w:szCs w:val="21"/>
          <w:highlight w:val="none"/>
        </w:rPr>
        <w:t>的违约金。</w:t>
      </w:r>
    </w:p>
    <w:p w14:paraId="10AD4AAF">
      <w:pPr>
        <w:spacing w:line="360" w:lineRule="auto"/>
        <w:ind w:firstLine="420" w:firstLineChars="200"/>
        <w:rPr>
          <w:rFonts w:hint="eastAsia" w:ascii="宋体" w:hAnsi="宋体" w:cs="宋体"/>
          <w:b/>
          <w:szCs w:val="21"/>
          <w:highlight w:val="none"/>
        </w:rPr>
      </w:pPr>
      <w:r>
        <w:rPr>
          <w:rFonts w:hint="eastAsia" w:ascii="宋体" w:hAnsi="宋体" w:cs="宋体"/>
          <w:szCs w:val="21"/>
          <w:highlight w:val="none"/>
        </w:rPr>
        <w:t>3.乙方逾期交付物品，则每日按合同总额</w:t>
      </w:r>
      <w:r>
        <w:rPr>
          <w:rFonts w:hint="eastAsia" w:ascii="宋体" w:hAnsi="宋体" w:cs="宋体"/>
          <w:b/>
          <w:szCs w:val="21"/>
          <w:highlight w:val="none"/>
          <w:u w:val="words"/>
        </w:rPr>
        <w:t>0.5%</w:t>
      </w:r>
      <w:r>
        <w:rPr>
          <w:rFonts w:hint="eastAsia" w:ascii="宋体" w:hAnsi="宋体" w:cs="宋体"/>
          <w:szCs w:val="21"/>
          <w:highlight w:val="none"/>
        </w:rPr>
        <w:t>向甲方偿付违约金。逾期交付超过</w:t>
      </w:r>
      <w:r>
        <w:rPr>
          <w:rFonts w:hint="eastAsia" w:ascii="宋体" w:hAnsi="宋体" w:cs="宋体"/>
          <w:b/>
          <w:szCs w:val="21"/>
          <w:highlight w:val="none"/>
          <w:u w:val="words"/>
        </w:rPr>
        <w:t>30</w:t>
      </w:r>
      <w:r>
        <w:rPr>
          <w:rFonts w:hint="eastAsia" w:ascii="宋体" w:hAnsi="宋体" w:cs="宋体"/>
          <w:szCs w:val="21"/>
          <w:highlight w:val="none"/>
        </w:rPr>
        <w:t>天，甲方有权终止合同。</w:t>
      </w:r>
    </w:p>
    <w:p w14:paraId="6316C29C">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第十一条：</w:t>
      </w:r>
      <w:r>
        <w:rPr>
          <w:rFonts w:hint="eastAsia" w:ascii="宋体" w:hAnsi="宋体" w:cs="宋体"/>
          <w:szCs w:val="21"/>
          <w:highlight w:val="none"/>
        </w:rPr>
        <w:t>争端解决：</w:t>
      </w:r>
    </w:p>
    <w:p w14:paraId="7B34CCDC">
      <w:pPr>
        <w:spacing w:line="360" w:lineRule="auto"/>
        <w:ind w:firstLine="420" w:firstLineChars="200"/>
        <w:rPr>
          <w:rFonts w:hint="eastAsia" w:ascii="宋体" w:hAnsi="宋体" w:cs="宋体"/>
          <w:szCs w:val="21"/>
          <w:highlight w:val="none"/>
        </w:rPr>
      </w:pPr>
      <w:r>
        <w:rPr>
          <w:rFonts w:hint="eastAsia" w:ascii="宋体" w:hAnsi="宋体" w:cs="宋体"/>
          <w:szCs w:val="21"/>
          <w:highlight w:val="none"/>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33A40D3B">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第十二条：</w:t>
      </w:r>
      <w:r>
        <w:rPr>
          <w:rFonts w:hint="eastAsia" w:ascii="宋体" w:hAnsi="宋体" w:cs="宋体"/>
          <w:szCs w:val="21"/>
          <w:highlight w:val="none"/>
        </w:rPr>
        <w:t>本协议甲乙双方签字盖章后生效，并作为签订进口合同的有效依据。</w:t>
      </w:r>
    </w:p>
    <w:p w14:paraId="379C6D45">
      <w:pPr>
        <w:spacing w:line="360" w:lineRule="auto"/>
        <w:ind w:firstLine="422" w:firstLineChars="200"/>
        <w:rPr>
          <w:rFonts w:hint="eastAsia" w:ascii="宋体" w:hAnsi="宋体" w:cs="宋体"/>
          <w:szCs w:val="21"/>
          <w:highlight w:val="none"/>
        </w:rPr>
      </w:pPr>
      <w:r>
        <w:rPr>
          <w:rFonts w:hint="eastAsia" w:ascii="宋体" w:hAnsi="宋体" w:cs="宋体"/>
          <w:b/>
          <w:szCs w:val="21"/>
          <w:highlight w:val="none"/>
        </w:rPr>
        <w:t>第十三条：</w:t>
      </w:r>
      <w:r>
        <w:rPr>
          <w:rFonts w:hint="eastAsia" w:ascii="宋体" w:hAnsi="宋体" w:cs="宋体"/>
          <w:szCs w:val="21"/>
          <w:highlight w:val="none"/>
        </w:rPr>
        <w:t>本协议一式陆份，甲方伍份、乙方壹份。自双方签字、盖章之日起生效，具有同等的法律效力。</w:t>
      </w:r>
    </w:p>
    <w:p w14:paraId="0718CBEF">
      <w:pPr>
        <w:spacing w:line="360" w:lineRule="auto"/>
        <w:ind w:firstLine="420" w:firstLineChars="200"/>
        <w:rPr>
          <w:rFonts w:hint="eastAsia" w:ascii="宋体" w:hAnsi="宋体" w:cs="宋体"/>
          <w:szCs w:val="21"/>
          <w:highlight w:val="none"/>
        </w:rPr>
      </w:pPr>
    </w:p>
    <w:p w14:paraId="5D543776">
      <w:pPr>
        <w:spacing w:line="360" w:lineRule="auto"/>
        <w:rPr>
          <w:rFonts w:hint="eastAsia" w:ascii="宋体" w:hAnsi="宋体" w:cs="宋体"/>
          <w:szCs w:val="21"/>
          <w:highlight w:val="none"/>
        </w:rPr>
      </w:pPr>
    </w:p>
    <w:tbl>
      <w:tblPr>
        <w:tblStyle w:val="45"/>
        <w:tblW w:w="5000" w:type="pct"/>
        <w:tblInd w:w="-108" w:type="dxa"/>
        <w:tblLayout w:type="autofit"/>
        <w:tblCellMar>
          <w:top w:w="0" w:type="dxa"/>
          <w:left w:w="108" w:type="dxa"/>
          <w:bottom w:w="0" w:type="dxa"/>
          <w:right w:w="108" w:type="dxa"/>
        </w:tblCellMar>
      </w:tblPr>
      <w:tblGrid>
        <w:gridCol w:w="4633"/>
        <w:gridCol w:w="5051"/>
      </w:tblGrid>
      <w:tr w14:paraId="08C43413">
        <w:tblPrEx>
          <w:tblCellMar>
            <w:top w:w="0" w:type="dxa"/>
            <w:left w:w="108" w:type="dxa"/>
            <w:bottom w:w="0" w:type="dxa"/>
            <w:right w:w="108" w:type="dxa"/>
          </w:tblCellMar>
        </w:tblPrEx>
        <w:trPr>
          <w:trHeight w:val="680" w:hRule="atLeast"/>
        </w:trPr>
        <w:tc>
          <w:tcPr>
            <w:tcW w:w="2392" w:type="pct"/>
          </w:tcPr>
          <w:p w14:paraId="02E08715">
            <w:pPr>
              <w:spacing w:line="360" w:lineRule="auto"/>
              <w:rPr>
                <w:rFonts w:hint="eastAsia" w:ascii="宋体" w:hAnsi="宋体" w:cs="宋体"/>
                <w:szCs w:val="21"/>
                <w:highlight w:val="none"/>
              </w:rPr>
            </w:pPr>
            <w:r>
              <w:rPr>
                <w:rFonts w:hint="eastAsia" w:ascii="宋体" w:hAnsi="宋体" w:cs="宋体"/>
                <w:szCs w:val="21"/>
                <w:highlight w:val="none"/>
              </w:rPr>
              <w:t>甲方（公章）：</w:t>
            </w:r>
            <w:r>
              <w:rPr>
                <w:rFonts w:hint="eastAsia" w:ascii="宋体" w:hAnsi="宋体" w:cs="宋体"/>
                <w:b/>
                <w:szCs w:val="21"/>
                <w:highlight w:val="none"/>
              </w:rPr>
              <w:t>南京邮电大学</w:t>
            </w:r>
          </w:p>
        </w:tc>
        <w:tc>
          <w:tcPr>
            <w:tcW w:w="2608" w:type="pct"/>
          </w:tcPr>
          <w:p w14:paraId="7AAAE29A">
            <w:pPr>
              <w:spacing w:line="360" w:lineRule="auto"/>
              <w:rPr>
                <w:rFonts w:hint="eastAsia" w:ascii="宋体" w:hAnsi="宋体" w:cs="宋体"/>
                <w:szCs w:val="21"/>
                <w:highlight w:val="none"/>
              </w:rPr>
            </w:pPr>
            <w:r>
              <w:rPr>
                <w:rFonts w:hint="eastAsia" w:ascii="宋体" w:hAnsi="宋体" w:cs="宋体"/>
                <w:szCs w:val="21"/>
                <w:highlight w:val="none"/>
              </w:rPr>
              <w:t>乙方（公章）：</w:t>
            </w:r>
            <w:r>
              <w:rPr>
                <w:rFonts w:hint="eastAsia" w:ascii="宋体" w:hAnsi="宋体" w:cs="宋体"/>
                <w:b/>
                <w:szCs w:val="21"/>
                <w:highlight w:val="none"/>
              </w:rPr>
              <w:t xml:space="preserve"> </w:t>
            </w:r>
          </w:p>
        </w:tc>
      </w:tr>
      <w:tr w14:paraId="48A5F8AF">
        <w:tblPrEx>
          <w:tblCellMar>
            <w:top w:w="0" w:type="dxa"/>
            <w:left w:w="108" w:type="dxa"/>
            <w:bottom w:w="0" w:type="dxa"/>
            <w:right w:w="108" w:type="dxa"/>
          </w:tblCellMar>
        </w:tblPrEx>
        <w:trPr>
          <w:trHeight w:val="680" w:hRule="atLeast"/>
        </w:trPr>
        <w:tc>
          <w:tcPr>
            <w:tcW w:w="2392" w:type="pct"/>
          </w:tcPr>
          <w:p w14:paraId="6A0E6656">
            <w:pPr>
              <w:spacing w:line="360" w:lineRule="auto"/>
              <w:rPr>
                <w:rFonts w:hint="eastAsia" w:ascii="宋体" w:hAnsi="宋体" w:cs="宋体"/>
                <w:szCs w:val="21"/>
                <w:highlight w:val="none"/>
              </w:rPr>
            </w:pPr>
            <w:r>
              <w:rPr>
                <w:rFonts w:hint="eastAsia" w:ascii="宋体" w:hAnsi="宋体" w:cs="宋体"/>
                <w:szCs w:val="21"/>
                <w:highlight w:val="none"/>
              </w:rPr>
              <w:t>授权代表：</w:t>
            </w:r>
          </w:p>
        </w:tc>
        <w:tc>
          <w:tcPr>
            <w:tcW w:w="2608" w:type="pct"/>
          </w:tcPr>
          <w:p w14:paraId="4578DC3D">
            <w:pPr>
              <w:spacing w:line="360" w:lineRule="auto"/>
              <w:rPr>
                <w:rFonts w:hint="eastAsia" w:ascii="宋体" w:hAnsi="宋体" w:cs="宋体"/>
                <w:szCs w:val="21"/>
                <w:highlight w:val="none"/>
              </w:rPr>
            </w:pPr>
            <w:r>
              <w:rPr>
                <w:rFonts w:hint="eastAsia" w:ascii="宋体" w:hAnsi="宋体" w:cs="宋体"/>
                <w:szCs w:val="21"/>
                <w:highlight w:val="none"/>
              </w:rPr>
              <w:t xml:space="preserve">法人代表（委托代理人）： </w:t>
            </w:r>
          </w:p>
        </w:tc>
      </w:tr>
      <w:tr w14:paraId="44A83558">
        <w:tblPrEx>
          <w:tblCellMar>
            <w:top w:w="0" w:type="dxa"/>
            <w:left w:w="108" w:type="dxa"/>
            <w:bottom w:w="0" w:type="dxa"/>
            <w:right w:w="108" w:type="dxa"/>
          </w:tblCellMar>
        </w:tblPrEx>
        <w:trPr>
          <w:trHeight w:val="680" w:hRule="atLeast"/>
        </w:trPr>
        <w:tc>
          <w:tcPr>
            <w:tcW w:w="2392" w:type="pct"/>
          </w:tcPr>
          <w:p w14:paraId="22423A53">
            <w:pPr>
              <w:spacing w:line="360" w:lineRule="auto"/>
              <w:rPr>
                <w:rFonts w:hint="eastAsia" w:ascii="宋体" w:hAnsi="宋体" w:cs="宋体"/>
                <w:szCs w:val="21"/>
                <w:highlight w:val="none"/>
              </w:rPr>
            </w:pPr>
            <w:r>
              <w:rPr>
                <w:rFonts w:hint="eastAsia" w:ascii="宋体" w:hAnsi="宋体" w:cs="宋体"/>
                <w:szCs w:val="21"/>
                <w:highlight w:val="none"/>
              </w:rPr>
              <w:t>用户代表：</w:t>
            </w:r>
          </w:p>
        </w:tc>
        <w:tc>
          <w:tcPr>
            <w:tcW w:w="2608" w:type="pct"/>
          </w:tcPr>
          <w:p w14:paraId="61C45971">
            <w:pPr>
              <w:spacing w:line="360" w:lineRule="auto"/>
              <w:rPr>
                <w:rFonts w:hint="eastAsia" w:ascii="宋体" w:hAnsi="宋体" w:cs="宋体"/>
                <w:szCs w:val="21"/>
                <w:highlight w:val="none"/>
              </w:rPr>
            </w:pPr>
            <w:r>
              <w:rPr>
                <w:rFonts w:hint="eastAsia" w:ascii="宋体" w:hAnsi="宋体" w:cs="宋体"/>
                <w:szCs w:val="21"/>
                <w:highlight w:val="none"/>
              </w:rPr>
              <w:t xml:space="preserve">经办人： </w:t>
            </w:r>
          </w:p>
        </w:tc>
      </w:tr>
      <w:tr w14:paraId="600A0084">
        <w:tblPrEx>
          <w:tblCellMar>
            <w:top w:w="0" w:type="dxa"/>
            <w:left w:w="108" w:type="dxa"/>
            <w:bottom w:w="0" w:type="dxa"/>
            <w:right w:w="108" w:type="dxa"/>
          </w:tblCellMar>
        </w:tblPrEx>
        <w:trPr>
          <w:trHeight w:val="680" w:hRule="atLeast"/>
        </w:trPr>
        <w:tc>
          <w:tcPr>
            <w:tcW w:w="2392" w:type="pct"/>
          </w:tcPr>
          <w:p w14:paraId="04133D06">
            <w:pPr>
              <w:spacing w:line="360" w:lineRule="auto"/>
              <w:rPr>
                <w:rFonts w:hint="eastAsia" w:ascii="宋体" w:hAnsi="宋体" w:cs="宋体"/>
                <w:szCs w:val="21"/>
                <w:highlight w:val="none"/>
              </w:rPr>
            </w:pPr>
            <w:r>
              <w:rPr>
                <w:rFonts w:hint="eastAsia" w:ascii="宋体" w:hAnsi="宋体" w:cs="宋体"/>
                <w:szCs w:val="21"/>
                <w:highlight w:val="none"/>
              </w:rPr>
              <w:t xml:space="preserve">地址： </w:t>
            </w:r>
          </w:p>
        </w:tc>
        <w:tc>
          <w:tcPr>
            <w:tcW w:w="2608" w:type="pct"/>
          </w:tcPr>
          <w:p w14:paraId="7118D0AA">
            <w:pPr>
              <w:spacing w:line="360" w:lineRule="auto"/>
              <w:rPr>
                <w:rFonts w:hint="eastAsia" w:ascii="宋体" w:hAnsi="宋体" w:cs="宋体"/>
                <w:szCs w:val="21"/>
                <w:highlight w:val="none"/>
              </w:rPr>
            </w:pPr>
            <w:r>
              <w:rPr>
                <w:rFonts w:hint="eastAsia" w:ascii="宋体" w:hAnsi="宋体" w:cs="宋体"/>
                <w:szCs w:val="21"/>
                <w:highlight w:val="none"/>
              </w:rPr>
              <w:t xml:space="preserve">地址： </w:t>
            </w:r>
          </w:p>
        </w:tc>
      </w:tr>
      <w:tr w14:paraId="1AA08DC0">
        <w:tblPrEx>
          <w:tblCellMar>
            <w:top w:w="0" w:type="dxa"/>
            <w:left w:w="108" w:type="dxa"/>
            <w:bottom w:w="0" w:type="dxa"/>
            <w:right w:w="108" w:type="dxa"/>
          </w:tblCellMar>
        </w:tblPrEx>
        <w:trPr>
          <w:trHeight w:val="680" w:hRule="atLeast"/>
        </w:trPr>
        <w:tc>
          <w:tcPr>
            <w:tcW w:w="2392" w:type="pct"/>
          </w:tcPr>
          <w:p w14:paraId="7AC2C468">
            <w:pPr>
              <w:spacing w:line="360" w:lineRule="auto"/>
              <w:rPr>
                <w:rFonts w:hint="eastAsia" w:ascii="宋体" w:hAnsi="宋体" w:cs="宋体"/>
                <w:szCs w:val="21"/>
                <w:highlight w:val="none"/>
              </w:rPr>
            </w:pPr>
            <w:r>
              <w:rPr>
                <w:rFonts w:hint="eastAsia" w:ascii="宋体" w:hAnsi="宋体" w:cs="宋体"/>
                <w:szCs w:val="21"/>
                <w:highlight w:val="none"/>
              </w:rPr>
              <w:t>联系电话：</w:t>
            </w:r>
          </w:p>
        </w:tc>
        <w:tc>
          <w:tcPr>
            <w:tcW w:w="2608" w:type="pct"/>
          </w:tcPr>
          <w:p w14:paraId="1CF5BEAC">
            <w:pPr>
              <w:spacing w:line="360" w:lineRule="auto"/>
              <w:rPr>
                <w:rFonts w:hint="eastAsia" w:ascii="宋体" w:hAnsi="宋体" w:cs="宋体"/>
                <w:szCs w:val="21"/>
                <w:highlight w:val="none"/>
              </w:rPr>
            </w:pPr>
            <w:r>
              <w:rPr>
                <w:rFonts w:hint="eastAsia" w:ascii="宋体" w:hAnsi="宋体" w:cs="宋体"/>
                <w:szCs w:val="21"/>
                <w:highlight w:val="none"/>
              </w:rPr>
              <w:t>联系电话：</w:t>
            </w:r>
          </w:p>
        </w:tc>
      </w:tr>
      <w:tr w14:paraId="1DE390B7">
        <w:tblPrEx>
          <w:tblCellMar>
            <w:top w:w="0" w:type="dxa"/>
            <w:left w:w="108" w:type="dxa"/>
            <w:bottom w:w="0" w:type="dxa"/>
            <w:right w:w="108" w:type="dxa"/>
          </w:tblCellMar>
        </w:tblPrEx>
        <w:trPr>
          <w:trHeight w:val="680" w:hRule="atLeast"/>
        </w:trPr>
        <w:tc>
          <w:tcPr>
            <w:tcW w:w="2392" w:type="pct"/>
          </w:tcPr>
          <w:p w14:paraId="1C6ABA3F">
            <w:pPr>
              <w:spacing w:line="360" w:lineRule="auto"/>
              <w:rPr>
                <w:rFonts w:hint="eastAsia" w:ascii="宋体" w:hAnsi="宋体" w:cs="宋体"/>
                <w:szCs w:val="21"/>
                <w:highlight w:val="none"/>
              </w:rPr>
            </w:pPr>
            <w:r>
              <w:rPr>
                <w:rFonts w:hint="eastAsia" w:ascii="宋体" w:hAnsi="宋体" w:cs="宋体"/>
                <w:szCs w:val="21"/>
                <w:highlight w:val="none"/>
              </w:rPr>
              <w:t>日期：         年    月    日</w:t>
            </w:r>
          </w:p>
        </w:tc>
        <w:tc>
          <w:tcPr>
            <w:tcW w:w="2608" w:type="pct"/>
          </w:tcPr>
          <w:p w14:paraId="4577BEE7">
            <w:pPr>
              <w:spacing w:line="360" w:lineRule="auto"/>
              <w:rPr>
                <w:rFonts w:hint="eastAsia" w:ascii="宋体" w:hAnsi="宋体" w:cs="宋体"/>
                <w:szCs w:val="21"/>
                <w:highlight w:val="none"/>
              </w:rPr>
            </w:pPr>
            <w:r>
              <w:rPr>
                <w:rFonts w:hint="eastAsia" w:ascii="宋体" w:hAnsi="宋体" w:cs="宋体"/>
                <w:szCs w:val="21"/>
                <w:highlight w:val="none"/>
              </w:rPr>
              <w:t>日期：       年     月    日</w:t>
            </w:r>
          </w:p>
        </w:tc>
      </w:tr>
    </w:tbl>
    <w:p w14:paraId="3E338C6E">
      <w:pPr>
        <w:widowControl/>
        <w:snapToGrid w:val="0"/>
        <w:spacing w:before="19" w:line="360" w:lineRule="auto"/>
        <w:ind w:firstLine="140" w:firstLineChars="67"/>
        <w:rPr>
          <w:rFonts w:hint="eastAsia" w:ascii="宋体" w:hAnsi="宋体"/>
          <w:szCs w:val="21"/>
          <w:highlight w:val="none"/>
        </w:rPr>
      </w:pPr>
    </w:p>
    <w:p w14:paraId="5A9F2A88">
      <w:pPr>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r>
    </w:p>
    <w:p w14:paraId="272F83B1">
      <w:pPr>
        <w:pStyle w:val="266"/>
        <w:rPr>
          <w:rFonts w:hint="eastAsia" w:ascii="宋体" w:hAnsi="宋体"/>
          <w:b/>
          <w:color w:val="000000" w:themeColor="text1"/>
          <w:sz w:val="72"/>
          <w:highlight w:val="none"/>
          <w14:textFill>
            <w14:solidFill>
              <w14:schemeClr w14:val="tx1"/>
            </w14:solidFill>
          </w14:textFill>
        </w:rPr>
      </w:pPr>
      <w:r>
        <w:rPr>
          <w:rFonts w:hint="eastAsia"/>
          <w:color w:val="000000" w:themeColor="text1"/>
          <w:highlight w:val="none"/>
          <w14:textFill>
            <w14:solidFill>
              <w14:schemeClr w14:val="tx1"/>
            </w14:solidFill>
          </w14:textFill>
        </w:rPr>
        <w:t>第</w:t>
      </w:r>
      <w:r>
        <w:rPr>
          <w:color w:val="000000" w:themeColor="text1"/>
          <w:highlight w:val="none"/>
          <w14:textFill>
            <w14:solidFill>
              <w14:schemeClr w14:val="tx1"/>
            </w14:solidFill>
          </w14:textFill>
        </w:rPr>
        <w:t>六章  响应文件格式及附件</w:t>
      </w:r>
    </w:p>
    <w:p w14:paraId="64DBE06F">
      <w:pPr>
        <w:spacing w:line="360" w:lineRule="auto"/>
        <w:jc w:val="center"/>
        <w:rPr>
          <w:rFonts w:hint="eastAsia" w:ascii="宋体" w:hAnsi="宋体"/>
          <w:b/>
          <w:color w:val="000000" w:themeColor="text1"/>
          <w:sz w:val="72"/>
          <w:szCs w:val="72"/>
          <w:highlight w:val="none"/>
          <w14:textFill>
            <w14:solidFill>
              <w14:schemeClr w14:val="tx1"/>
            </w14:solidFill>
          </w14:textFill>
        </w:rPr>
      </w:pPr>
      <w:r>
        <w:rPr>
          <w:rFonts w:hint="eastAsia" w:ascii="宋体" w:hAnsi="宋体"/>
          <w:b/>
          <w:color w:val="000000" w:themeColor="text1"/>
          <w:sz w:val="72"/>
          <w:szCs w:val="72"/>
          <w:highlight w:val="none"/>
          <w14:textFill>
            <w14:solidFill>
              <w14:schemeClr w14:val="tx1"/>
            </w14:solidFill>
          </w14:textFill>
        </w:rPr>
        <w:t>响应文件</w:t>
      </w:r>
    </w:p>
    <w:p w14:paraId="623DF8EF">
      <w:pPr>
        <w:spacing w:line="360" w:lineRule="auto"/>
        <w:ind w:firstLine="2472" w:firstLineChars="1026"/>
        <w:rPr>
          <w:rFonts w:hint="eastAsia" w:ascii="宋体" w:hAnsi="宋体"/>
          <w:b/>
          <w:color w:val="000000" w:themeColor="text1"/>
          <w:sz w:val="24"/>
          <w:highlight w:val="none"/>
          <w14:textFill>
            <w14:solidFill>
              <w14:schemeClr w14:val="tx1"/>
            </w14:solidFill>
          </w14:textFill>
        </w:rPr>
      </w:pPr>
    </w:p>
    <w:p w14:paraId="7E83D744">
      <w:pPr>
        <w:spacing w:line="360" w:lineRule="auto"/>
        <w:jc w:val="center"/>
        <w:rPr>
          <w:rFonts w:hint="eastAsia" w:ascii="宋体" w:hAnsi="宋体"/>
          <w:b/>
          <w:color w:val="000000" w:themeColor="text1"/>
          <w:sz w:val="24"/>
          <w:highlight w:val="none"/>
          <w14:textFill>
            <w14:solidFill>
              <w14:schemeClr w14:val="tx1"/>
            </w14:solidFill>
          </w14:textFill>
        </w:rPr>
      </w:pPr>
    </w:p>
    <w:p w14:paraId="22E641DE">
      <w:pPr>
        <w:spacing w:line="360" w:lineRule="auto"/>
        <w:jc w:val="center"/>
        <w:rPr>
          <w:rFonts w:hint="eastAsia" w:ascii="宋体" w:hAnsi="宋体"/>
          <w:b/>
          <w:color w:val="000000" w:themeColor="text1"/>
          <w:sz w:val="24"/>
          <w:highlight w:val="none"/>
          <w14:textFill>
            <w14:solidFill>
              <w14:schemeClr w14:val="tx1"/>
            </w14:solidFill>
          </w14:textFill>
        </w:rPr>
      </w:pPr>
    </w:p>
    <w:p w14:paraId="7679A65B">
      <w:pPr>
        <w:spacing w:before="480" w:beforeLines="200" w:line="360" w:lineRule="auto"/>
        <w:jc w:val="center"/>
        <w:rPr>
          <w:rFonts w:hint="eastAsia" w:ascii="宋体" w:hAnsi="宋体" w:cs="宋体"/>
          <w:b/>
          <w:color w:val="000000" w:themeColor="text1"/>
          <w:sz w:val="36"/>
          <w:highlight w:val="none"/>
          <w14:textFill>
            <w14:solidFill>
              <w14:schemeClr w14:val="tx1"/>
            </w14:solidFill>
          </w14:textFill>
        </w:rPr>
      </w:pPr>
      <w:r>
        <w:rPr>
          <w:rFonts w:hint="eastAsia" w:ascii="宋体" w:hAnsi="宋体" w:cs="宋体"/>
          <w:b/>
          <w:color w:val="000000" w:themeColor="text1"/>
          <w:sz w:val="36"/>
          <w:highlight w:val="none"/>
          <w14:textFill>
            <w14:solidFill>
              <w14:schemeClr w14:val="tx1"/>
            </w14:solidFill>
          </w14:textFill>
        </w:rPr>
        <w:t>（正或副本）</w:t>
      </w:r>
    </w:p>
    <w:p w14:paraId="33EFE08E">
      <w:pPr>
        <w:spacing w:line="360" w:lineRule="auto"/>
        <w:jc w:val="center"/>
        <w:rPr>
          <w:rFonts w:hint="eastAsia" w:ascii="宋体" w:hAnsi="宋体"/>
          <w:b/>
          <w:color w:val="000000" w:themeColor="text1"/>
          <w:sz w:val="24"/>
          <w:highlight w:val="none"/>
          <w14:textFill>
            <w14:solidFill>
              <w14:schemeClr w14:val="tx1"/>
            </w14:solidFill>
          </w14:textFill>
        </w:rPr>
      </w:pPr>
    </w:p>
    <w:p w14:paraId="148665DB">
      <w:pPr>
        <w:spacing w:line="360" w:lineRule="auto"/>
        <w:rPr>
          <w:rFonts w:hint="eastAsia" w:ascii="宋体" w:hAnsi="宋体"/>
          <w:b/>
          <w:color w:val="000000" w:themeColor="text1"/>
          <w:sz w:val="24"/>
          <w:highlight w:val="none"/>
          <w14:textFill>
            <w14:solidFill>
              <w14:schemeClr w14:val="tx1"/>
            </w14:solidFill>
          </w14:textFill>
        </w:rPr>
      </w:pPr>
    </w:p>
    <w:p w14:paraId="02FE33DE">
      <w:pPr>
        <w:spacing w:line="360" w:lineRule="auto"/>
        <w:jc w:val="center"/>
        <w:rPr>
          <w:rFonts w:hint="eastAsia" w:ascii="宋体" w:hAnsi="宋体"/>
          <w:b/>
          <w:color w:val="000000" w:themeColor="text1"/>
          <w:sz w:val="24"/>
          <w:highlight w:val="none"/>
          <w14:textFill>
            <w14:solidFill>
              <w14:schemeClr w14:val="tx1"/>
            </w14:solidFill>
          </w14:textFill>
        </w:rPr>
      </w:pPr>
    </w:p>
    <w:p w14:paraId="6D186CB0">
      <w:pPr>
        <w:spacing w:line="360" w:lineRule="auto"/>
        <w:rPr>
          <w:rFonts w:hint="eastAsia" w:ascii="宋体" w:hAnsi="宋体"/>
          <w:b/>
          <w:color w:val="000000" w:themeColor="text1"/>
          <w:sz w:val="24"/>
          <w:highlight w:val="none"/>
          <w14:textFill>
            <w14:solidFill>
              <w14:schemeClr w14:val="tx1"/>
            </w14:solidFill>
          </w14:textFill>
        </w:rPr>
      </w:pPr>
    </w:p>
    <w:p w14:paraId="5D0EA01D">
      <w:pPr>
        <w:spacing w:line="360" w:lineRule="auto"/>
        <w:jc w:val="center"/>
        <w:rPr>
          <w:rFonts w:hint="eastAsia" w:ascii="宋体" w:hAnsi="宋体"/>
          <w:b/>
          <w:color w:val="000000" w:themeColor="text1"/>
          <w:sz w:val="24"/>
          <w:highlight w:val="none"/>
          <w14:textFill>
            <w14:solidFill>
              <w14:schemeClr w14:val="tx1"/>
            </w14:solidFill>
          </w14:textFill>
        </w:rPr>
      </w:pPr>
    </w:p>
    <w:p w14:paraId="152152FA">
      <w:pPr>
        <w:pStyle w:val="258"/>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项目编号：</w:t>
      </w:r>
      <w:r>
        <w:rPr>
          <w:rFonts w:asciiTheme="majorEastAsia" w:hAnsiTheme="majorEastAsia" w:eastAsiaTheme="majorEastAsia"/>
          <w:b/>
          <w:sz w:val="36"/>
          <w:szCs w:val="36"/>
          <w:highlight w:val="none"/>
        </w:rPr>
        <w:t>XXXXX</w:t>
      </w:r>
    </w:p>
    <w:p w14:paraId="3A78FD83">
      <w:pPr>
        <w:spacing w:line="360" w:lineRule="auto"/>
        <w:ind w:firstLine="843" w:firstLineChars="300"/>
        <w:rPr>
          <w:rFonts w:hint="eastAsia" w:ascii="宋体" w:hAnsi="宋体"/>
          <w:b/>
          <w:color w:val="000000" w:themeColor="text1"/>
          <w:sz w:val="28"/>
          <w:szCs w:val="28"/>
          <w:highlight w:val="none"/>
          <w14:textFill>
            <w14:solidFill>
              <w14:schemeClr w14:val="tx1"/>
            </w14:solidFill>
          </w14:textFill>
        </w:rPr>
      </w:pPr>
    </w:p>
    <w:p w14:paraId="4EA26960">
      <w:pPr>
        <w:pStyle w:val="258"/>
        <w:ind w:firstLine="0"/>
        <w:jc w:val="center"/>
        <w:rPr>
          <w:rFonts w:hint="eastAsia" w:asciiTheme="majorEastAsia" w:hAnsiTheme="majorEastAsia" w:eastAsiaTheme="majorEastAsia"/>
          <w:b/>
          <w:sz w:val="36"/>
          <w:szCs w:val="36"/>
          <w:highlight w:val="none"/>
        </w:rPr>
      </w:pPr>
      <w:r>
        <w:rPr>
          <w:rFonts w:hint="eastAsia" w:ascii="宋体" w:hAnsi="宋体"/>
          <w:b/>
          <w:color w:val="000000" w:themeColor="text1"/>
          <w:sz w:val="28"/>
          <w:szCs w:val="28"/>
          <w:highlight w:val="none"/>
          <w14:textFill>
            <w14:solidFill>
              <w14:schemeClr w14:val="tx1"/>
            </w14:solidFill>
          </w14:textFill>
        </w:rPr>
        <w:t>项目名称：</w:t>
      </w:r>
      <w:r>
        <w:rPr>
          <w:rFonts w:asciiTheme="majorEastAsia" w:hAnsiTheme="majorEastAsia" w:eastAsiaTheme="majorEastAsia"/>
          <w:b/>
          <w:sz w:val="36"/>
          <w:szCs w:val="36"/>
          <w:highlight w:val="none"/>
        </w:rPr>
        <w:t>XXXXX</w:t>
      </w:r>
    </w:p>
    <w:p w14:paraId="47B15919">
      <w:pPr>
        <w:spacing w:line="360" w:lineRule="auto"/>
        <w:ind w:firstLine="843" w:firstLineChars="300"/>
        <w:rPr>
          <w:rFonts w:hint="eastAsia" w:ascii="宋体" w:hAnsi="宋体"/>
          <w:b/>
          <w:color w:val="000000" w:themeColor="text1"/>
          <w:sz w:val="28"/>
          <w:szCs w:val="28"/>
          <w:highlight w:val="none"/>
          <w:u w:val="single"/>
          <w14:textFill>
            <w14:solidFill>
              <w14:schemeClr w14:val="tx1"/>
            </w14:solidFill>
          </w14:textFill>
        </w:rPr>
      </w:pPr>
    </w:p>
    <w:p w14:paraId="79B3EA06">
      <w:pPr>
        <w:spacing w:line="360" w:lineRule="auto"/>
        <w:rPr>
          <w:rFonts w:hint="eastAsia" w:ascii="宋体" w:hAnsi="宋体"/>
          <w:b/>
          <w:color w:val="000000" w:themeColor="text1"/>
          <w:sz w:val="28"/>
          <w:szCs w:val="28"/>
          <w:highlight w:val="none"/>
          <w14:textFill>
            <w14:solidFill>
              <w14:schemeClr w14:val="tx1"/>
            </w14:solidFill>
          </w14:textFill>
        </w:rPr>
      </w:pPr>
    </w:p>
    <w:p w14:paraId="0625CF23">
      <w:pPr>
        <w:spacing w:line="360" w:lineRule="auto"/>
        <w:rPr>
          <w:rFonts w:hint="eastAsia" w:ascii="宋体" w:hAnsi="宋体"/>
          <w:b/>
          <w:color w:val="000000" w:themeColor="text1"/>
          <w:sz w:val="28"/>
          <w:szCs w:val="28"/>
          <w:highlight w:val="none"/>
          <w14:textFill>
            <w14:solidFill>
              <w14:schemeClr w14:val="tx1"/>
            </w14:solidFill>
          </w14:textFill>
        </w:rPr>
      </w:pPr>
    </w:p>
    <w:p w14:paraId="73881501">
      <w:pPr>
        <w:spacing w:line="360" w:lineRule="auto"/>
        <w:rPr>
          <w:rFonts w:hint="eastAsia" w:ascii="宋体" w:hAnsi="宋体"/>
          <w:b/>
          <w:color w:val="000000" w:themeColor="text1"/>
          <w:sz w:val="28"/>
          <w:szCs w:val="28"/>
          <w:highlight w:val="none"/>
          <w14:textFill>
            <w14:solidFill>
              <w14:schemeClr w14:val="tx1"/>
            </w14:solidFill>
          </w14:textFill>
        </w:rPr>
      </w:pPr>
    </w:p>
    <w:p w14:paraId="469AB668">
      <w:pPr>
        <w:spacing w:line="360" w:lineRule="auto"/>
        <w:rPr>
          <w:rFonts w:hint="eastAsia" w:ascii="宋体" w:hAnsi="宋体"/>
          <w:b/>
          <w:color w:val="000000" w:themeColor="text1"/>
          <w:sz w:val="28"/>
          <w:szCs w:val="28"/>
          <w:highlight w:val="none"/>
          <w14:textFill>
            <w14:solidFill>
              <w14:schemeClr w14:val="tx1"/>
            </w14:solidFill>
          </w14:textFill>
        </w:rPr>
      </w:pPr>
    </w:p>
    <w:p w14:paraId="3854951D">
      <w:pPr>
        <w:spacing w:line="360" w:lineRule="auto"/>
        <w:rPr>
          <w:rFonts w:hint="eastAsia" w:ascii="宋体" w:hAnsi="宋体"/>
          <w:b/>
          <w:color w:val="000000" w:themeColor="text1"/>
          <w:sz w:val="28"/>
          <w:szCs w:val="28"/>
          <w:highlight w:val="none"/>
          <w14:textFill>
            <w14:solidFill>
              <w14:schemeClr w14:val="tx1"/>
            </w14:solidFill>
          </w14:textFill>
        </w:rPr>
      </w:pPr>
    </w:p>
    <w:p w14:paraId="1FE95181">
      <w:pPr>
        <w:spacing w:line="360" w:lineRule="auto"/>
        <w:rPr>
          <w:rFonts w:hint="eastAsia" w:ascii="宋体" w:hAnsi="宋体"/>
          <w:b/>
          <w:color w:val="000000" w:themeColor="text1"/>
          <w:sz w:val="28"/>
          <w:szCs w:val="28"/>
          <w:highlight w:val="none"/>
          <w14:textFill>
            <w14:solidFill>
              <w14:schemeClr w14:val="tx1"/>
            </w14:solidFill>
          </w14:textFill>
        </w:rPr>
      </w:pPr>
    </w:p>
    <w:p w14:paraId="54E87EC7">
      <w:pPr>
        <w:spacing w:line="360" w:lineRule="auto"/>
        <w:rPr>
          <w:rFonts w:hint="eastAsia" w:ascii="宋体" w:hAnsi="宋体"/>
          <w:b/>
          <w:color w:val="000000" w:themeColor="text1"/>
          <w:sz w:val="28"/>
          <w:szCs w:val="28"/>
          <w:highlight w:val="none"/>
          <w:u w:val="singl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供应商名称：</w:t>
      </w:r>
      <w:r>
        <w:rPr>
          <w:rFonts w:asciiTheme="majorEastAsia" w:hAnsiTheme="majorEastAsia" w:eastAsiaTheme="majorEastAsia"/>
          <w:b/>
          <w:sz w:val="30"/>
          <w:szCs w:val="30"/>
          <w:highlight w:val="none"/>
        </w:rPr>
        <w:t>XXXXXXXX</w:t>
      </w:r>
    </w:p>
    <w:p w14:paraId="76548BFB">
      <w:pPr>
        <w:spacing w:line="360" w:lineRule="auto"/>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日期：</w:t>
      </w:r>
      <w:r>
        <w:rPr>
          <w:rFonts w:asciiTheme="majorEastAsia" w:hAnsiTheme="majorEastAsia" w:eastAsiaTheme="majorEastAsia"/>
          <w:b/>
          <w:sz w:val="30"/>
          <w:szCs w:val="30"/>
          <w:highlight w:val="none"/>
        </w:rPr>
        <w:t>XXXXXXXX</w:t>
      </w:r>
    </w:p>
    <w:p w14:paraId="248B0768">
      <w:pPr>
        <w:spacing w:line="360" w:lineRule="auto"/>
        <w:rPr>
          <w:rFonts w:hint="eastAsia" w:ascii="宋体" w:hAnsi="宋体"/>
          <w:b/>
          <w:color w:val="000000" w:themeColor="text1"/>
          <w:sz w:val="30"/>
          <w:szCs w:val="30"/>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3" w:name="_Toc405408732"/>
      <w:r>
        <w:rPr>
          <w:rFonts w:hint="eastAsia" w:ascii="宋体" w:hAnsi="宋体"/>
          <w:b/>
          <w:color w:val="000000" w:themeColor="text1"/>
          <w:sz w:val="30"/>
          <w:szCs w:val="30"/>
          <w:highlight w:val="none"/>
          <w14:textFill>
            <w14:solidFill>
              <w14:schemeClr w14:val="tx1"/>
            </w14:solidFill>
          </w14:textFill>
        </w:rPr>
        <w:t>评分索引表</w:t>
      </w:r>
    </w:p>
    <w:tbl>
      <w:tblPr>
        <w:tblStyle w:val="4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27"/>
        <w:gridCol w:w="3455"/>
      </w:tblGrid>
      <w:tr w14:paraId="1779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4A7F7ED">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评分项目</w:t>
            </w:r>
          </w:p>
        </w:tc>
        <w:tc>
          <w:tcPr>
            <w:tcW w:w="1783" w:type="pct"/>
          </w:tcPr>
          <w:p w14:paraId="3ADEFC17">
            <w:pPr>
              <w:spacing w:line="360" w:lineRule="auto"/>
              <w:jc w:val="center"/>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t>在响应文件中的页码位置</w:t>
            </w:r>
          </w:p>
        </w:tc>
      </w:tr>
      <w:tr w14:paraId="119C5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3216" w:type="pct"/>
          </w:tcPr>
          <w:p w14:paraId="37931168">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00F9A3A">
            <w:pPr>
              <w:spacing w:line="360" w:lineRule="auto"/>
              <w:rPr>
                <w:rFonts w:hint="eastAsia" w:ascii="宋体" w:hAnsi="宋体"/>
                <w:b/>
                <w:color w:val="000000" w:themeColor="text1"/>
                <w:highlight w:val="none"/>
                <w14:textFill>
                  <w14:solidFill>
                    <w14:schemeClr w14:val="tx1"/>
                  </w14:solidFill>
                </w14:textFill>
              </w:rPr>
            </w:pPr>
          </w:p>
        </w:tc>
      </w:tr>
      <w:tr w14:paraId="4A5A7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000" w:type="pct"/>
            <w:gridSpan w:val="2"/>
          </w:tcPr>
          <w:p w14:paraId="358BAC37">
            <w:pPr>
              <w:spacing w:line="360" w:lineRule="auto"/>
              <w:rPr>
                <w:rFonts w:hint="eastAsia" w:ascii="宋体" w:hAnsi="宋体"/>
                <w:b/>
                <w:color w:val="000000" w:themeColor="text1"/>
                <w:highlight w:val="none"/>
                <w14:textFill>
                  <w14:solidFill>
                    <w14:schemeClr w14:val="tx1"/>
                  </w14:solidFill>
                </w14:textFill>
              </w:rPr>
            </w:pPr>
          </w:p>
        </w:tc>
      </w:tr>
      <w:tr w14:paraId="2C9D7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3216" w:type="pct"/>
          </w:tcPr>
          <w:p w14:paraId="0C5C39B4">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91E5B33">
            <w:pPr>
              <w:spacing w:line="360" w:lineRule="auto"/>
              <w:rPr>
                <w:rFonts w:hint="eastAsia" w:ascii="宋体" w:hAnsi="宋体"/>
                <w:b/>
                <w:color w:val="000000" w:themeColor="text1"/>
                <w:highlight w:val="none"/>
                <w14:textFill>
                  <w14:solidFill>
                    <w14:schemeClr w14:val="tx1"/>
                  </w14:solidFill>
                </w14:textFill>
              </w:rPr>
            </w:pPr>
          </w:p>
        </w:tc>
      </w:tr>
      <w:tr w14:paraId="3857A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16" w:type="pct"/>
          </w:tcPr>
          <w:p w14:paraId="311779E9">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6CACB2E3">
            <w:pPr>
              <w:spacing w:line="360" w:lineRule="auto"/>
              <w:rPr>
                <w:rFonts w:hint="eastAsia" w:ascii="宋体" w:hAnsi="宋体"/>
                <w:b/>
                <w:color w:val="000000" w:themeColor="text1"/>
                <w:highlight w:val="none"/>
                <w14:textFill>
                  <w14:solidFill>
                    <w14:schemeClr w14:val="tx1"/>
                  </w14:solidFill>
                </w14:textFill>
              </w:rPr>
            </w:pPr>
          </w:p>
        </w:tc>
      </w:tr>
      <w:tr w14:paraId="7ABB6C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15B25502">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7573E8EB">
            <w:pPr>
              <w:spacing w:line="360" w:lineRule="auto"/>
              <w:rPr>
                <w:rFonts w:hint="eastAsia" w:ascii="宋体" w:hAnsi="宋体"/>
                <w:b/>
                <w:color w:val="000000" w:themeColor="text1"/>
                <w:highlight w:val="none"/>
                <w14:textFill>
                  <w14:solidFill>
                    <w14:schemeClr w14:val="tx1"/>
                  </w14:solidFill>
                </w14:textFill>
              </w:rPr>
            </w:pPr>
          </w:p>
        </w:tc>
      </w:tr>
      <w:tr w14:paraId="5D0B0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3216" w:type="pct"/>
          </w:tcPr>
          <w:p w14:paraId="03345D85">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AF46673">
            <w:pPr>
              <w:spacing w:line="360" w:lineRule="auto"/>
              <w:rPr>
                <w:rFonts w:hint="eastAsia" w:ascii="宋体" w:hAnsi="宋体"/>
                <w:b/>
                <w:color w:val="000000" w:themeColor="text1"/>
                <w:highlight w:val="none"/>
                <w14:textFill>
                  <w14:solidFill>
                    <w14:schemeClr w14:val="tx1"/>
                  </w14:solidFill>
                </w14:textFill>
              </w:rPr>
            </w:pPr>
          </w:p>
        </w:tc>
      </w:tr>
      <w:tr w14:paraId="5FED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trPr>
        <w:tc>
          <w:tcPr>
            <w:tcW w:w="3216" w:type="pct"/>
          </w:tcPr>
          <w:p w14:paraId="0B155E99">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DDADA17">
            <w:pPr>
              <w:spacing w:line="360" w:lineRule="auto"/>
              <w:rPr>
                <w:rFonts w:hint="eastAsia" w:ascii="宋体" w:hAnsi="宋体"/>
                <w:b/>
                <w:color w:val="000000" w:themeColor="text1"/>
                <w:highlight w:val="none"/>
                <w14:textFill>
                  <w14:solidFill>
                    <w14:schemeClr w14:val="tx1"/>
                  </w14:solidFill>
                </w14:textFill>
              </w:rPr>
            </w:pPr>
          </w:p>
        </w:tc>
      </w:tr>
      <w:tr w14:paraId="520B6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5000" w:type="pct"/>
            <w:gridSpan w:val="2"/>
          </w:tcPr>
          <w:p w14:paraId="349EFAE1">
            <w:pPr>
              <w:spacing w:line="360" w:lineRule="auto"/>
              <w:rPr>
                <w:rFonts w:hint="eastAsia" w:ascii="宋体" w:hAnsi="宋体"/>
                <w:b/>
                <w:color w:val="000000" w:themeColor="text1"/>
                <w:highlight w:val="none"/>
                <w14:textFill>
                  <w14:solidFill>
                    <w14:schemeClr w14:val="tx1"/>
                  </w14:solidFill>
                </w14:textFill>
              </w:rPr>
            </w:pPr>
          </w:p>
        </w:tc>
      </w:tr>
      <w:tr w14:paraId="054E4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atLeast"/>
        </w:trPr>
        <w:tc>
          <w:tcPr>
            <w:tcW w:w="3216" w:type="pct"/>
          </w:tcPr>
          <w:p w14:paraId="1AFD8AA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0BBDA421">
            <w:pPr>
              <w:spacing w:line="360" w:lineRule="auto"/>
              <w:rPr>
                <w:rFonts w:hint="eastAsia" w:ascii="宋体" w:hAnsi="宋体"/>
                <w:b/>
                <w:color w:val="000000" w:themeColor="text1"/>
                <w:highlight w:val="none"/>
                <w14:textFill>
                  <w14:solidFill>
                    <w14:schemeClr w14:val="tx1"/>
                  </w14:solidFill>
                </w14:textFill>
              </w:rPr>
            </w:pPr>
          </w:p>
        </w:tc>
      </w:tr>
      <w:tr w14:paraId="5C1C4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3216" w:type="pct"/>
          </w:tcPr>
          <w:p w14:paraId="285DB51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DF99D82">
            <w:pPr>
              <w:spacing w:line="360" w:lineRule="auto"/>
              <w:rPr>
                <w:rFonts w:hint="eastAsia" w:ascii="宋体" w:hAnsi="宋体"/>
                <w:b/>
                <w:color w:val="000000" w:themeColor="text1"/>
                <w:highlight w:val="none"/>
                <w14:textFill>
                  <w14:solidFill>
                    <w14:schemeClr w14:val="tx1"/>
                  </w14:solidFill>
                </w14:textFill>
              </w:rPr>
            </w:pPr>
          </w:p>
        </w:tc>
      </w:tr>
      <w:tr w14:paraId="2A4B8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216" w:type="pct"/>
          </w:tcPr>
          <w:p w14:paraId="452C7C8D">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6B2F41B">
            <w:pPr>
              <w:spacing w:line="360" w:lineRule="auto"/>
              <w:rPr>
                <w:rFonts w:hint="eastAsia" w:ascii="宋体" w:hAnsi="宋体"/>
                <w:b/>
                <w:color w:val="000000" w:themeColor="text1"/>
                <w:highlight w:val="none"/>
                <w14:textFill>
                  <w14:solidFill>
                    <w14:schemeClr w14:val="tx1"/>
                  </w14:solidFill>
                </w14:textFill>
              </w:rPr>
            </w:pPr>
          </w:p>
        </w:tc>
      </w:tr>
      <w:tr w14:paraId="4D5FA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2DF5421A">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34F59B9D">
            <w:pPr>
              <w:spacing w:line="360" w:lineRule="auto"/>
              <w:rPr>
                <w:rFonts w:hint="eastAsia" w:ascii="宋体" w:hAnsi="宋体"/>
                <w:b/>
                <w:color w:val="000000" w:themeColor="text1"/>
                <w:highlight w:val="none"/>
                <w14:textFill>
                  <w14:solidFill>
                    <w14:schemeClr w14:val="tx1"/>
                  </w14:solidFill>
                </w14:textFill>
              </w:rPr>
            </w:pPr>
          </w:p>
        </w:tc>
      </w:tr>
      <w:tr w14:paraId="1F4FCC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3216" w:type="pct"/>
          </w:tcPr>
          <w:p w14:paraId="6A191F7C">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60D9D1BB">
            <w:pPr>
              <w:spacing w:line="360" w:lineRule="auto"/>
              <w:rPr>
                <w:rFonts w:hint="eastAsia" w:ascii="宋体" w:hAnsi="宋体"/>
                <w:b/>
                <w:color w:val="000000" w:themeColor="text1"/>
                <w:highlight w:val="none"/>
                <w14:textFill>
                  <w14:solidFill>
                    <w14:schemeClr w14:val="tx1"/>
                  </w14:solidFill>
                </w14:textFill>
              </w:rPr>
            </w:pPr>
          </w:p>
        </w:tc>
      </w:tr>
      <w:tr w14:paraId="09313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5000" w:type="pct"/>
            <w:gridSpan w:val="2"/>
          </w:tcPr>
          <w:p w14:paraId="53589AA3">
            <w:pPr>
              <w:spacing w:line="360" w:lineRule="auto"/>
              <w:rPr>
                <w:rFonts w:hint="eastAsia" w:ascii="宋体" w:hAnsi="宋体"/>
                <w:b/>
                <w:color w:val="000000" w:themeColor="text1"/>
                <w:highlight w:val="none"/>
                <w14:textFill>
                  <w14:solidFill>
                    <w14:schemeClr w14:val="tx1"/>
                  </w14:solidFill>
                </w14:textFill>
              </w:rPr>
            </w:pPr>
          </w:p>
        </w:tc>
      </w:tr>
      <w:tr w14:paraId="25FFD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5" w:hRule="atLeast"/>
        </w:trPr>
        <w:tc>
          <w:tcPr>
            <w:tcW w:w="3216" w:type="pct"/>
          </w:tcPr>
          <w:p w14:paraId="3F8669D8">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2976B65">
            <w:pPr>
              <w:spacing w:line="360" w:lineRule="auto"/>
              <w:rPr>
                <w:rFonts w:hint="eastAsia" w:ascii="宋体" w:hAnsi="宋体"/>
                <w:b/>
                <w:color w:val="000000" w:themeColor="text1"/>
                <w:highlight w:val="none"/>
                <w14:textFill>
                  <w14:solidFill>
                    <w14:schemeClr w14:val="tx1"/>
                  </w14:solidFill>
                </w14:textFill>
              </w:rPr>
            </w:pPr>
          </w:p>
        </w:tc>
      </w:tr>
      <w:tr w14:paraId="5BF06E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3216" w:type="pct"/>
          </w:tcPr>
          <w:p w14:paraId="6336E658">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4C2FAC43">
            <w:pPr>
              <w:spacing w:line="360" w:lineRule="auto"/>
              <w:rPr>
                <w:rFonts w:hint="eastAsia" w:ascii="宋体" w:hAnsi="宋体"/>
                <w:b/>
                <w:color w:val="000000" w:themeColor="text1"/>
                <w:highlight w:val="none"/>
                <w14:textFill>
                  <w14:solidFill>
                    <w14:schemeClr w14:val="tx1"/>
                  </w14:solidFill>
                </w14:textFill>
              </w:rPr>
            </w:pPr>
          </w:p>
        </w:tc>
      </w:tr>
      <w:tr w14:paraId="54293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216" w:type="pct"/>
          </w:tcPr>
          <w:p w14:paraId="31CE7D8E">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9B371FF">
            <w:pPr>
              <w:spacing w:line="360" w:lineRule="auto"/>
              <w:rPr>
                <w:rFonts w:hint="eastAsia" w:ascii="宋体" w:hAnsi="宋体"/>
                <w:b/>
                <w:color w:val="000000" w:themeColor="text1"/>
                <w:highlight w:val="none"/>
                <w14:textFill>
                  <w14:solidFill>
                    <w14:schemeClr w14:val="tx1"/>
                  </w14:solidFill>
                </w14:textFill>
              </w:rPr>
            </w:pPr>
          </w:p>
        </w:tc>
      </w:tr>
      <w:tr w14:paraId="5B7CF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5000" w:type="pct"/>
            <w:gridSpan w:val="2"/>
          </w:tcPr>
          <w:p w14:paraId="4BA6DD19">
            <w:pPr>
              <w:spacing w:line="360" w:lineRule="auto"/>
              <w:rPr>
                <w:rFonts w:hint="eastAsia" w:ascii="宋体" w:hAnsi="宋体"/>
                <w:b/>
                <w:color w:val="000000" w:themeColor="text1"/>
                <w:highlight w:val="none"/>
                <w14:textFill>
                  <w14:solidFill>
                    <w14:schemeClr w14:val="tx1"/>
                  </w14:solidFill>
                </w14:textFill>
              </w:rPr>
            </w:pPr>
          </w:p>
        </w:tc>
      </w:tr>
      <w:tr w14:paraId="59086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216" w:type="pct"/>
          </w:tcPr>
          <w:p w14:paraId="63E7EA64">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5317F46A">
            <w:pPr>
              <w:spacing w:line="360" w:lineRule="auto"/>
              <w:rPr>
                <w:rFonts w:hint="eastAsia" w:ascii="宋体" w:hAnsi="宋体"/>
                <w:b/>
                <w:color w:val="000000" w:themeColor="text1"/>
                <w:highlight w:val="none"/>
                <w14:textFill>
                  <w14:solidFill>
                    <w14:schemeClr w14:val="tx1"/>
                  </w14:solidFill>
                </w14:textFill>
              </w:rPr>
            </w:pPr>
          </w:p>
        </w:tc>
      </w:tr>
      <w:tr w14:paraId="7482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3216" w:type="pct"/>
          </w:tcPr>
          <w:p w14:paraId="32EBF66B">
            <w:pPr>
              <w:spacing w:line="360" w:lineRule="auto"/>
              <w:rPr>
                <w:rFonts w:hint="eastAsia" w:ascii="宋体" w:hAnsi="宋体"/>
                <w:b/>
                <w:color w:val="000000" w:themeColor="text1"/>
                <w:highlight w:val="none"/>
                <w14:textFill>
                  <w14:solidFill>
                    <w14:schemeClr w14:val="tx1"/>
                  </w14:solidFill>
                </w14:textFill>
              </w:rPr>
            </w:pPr>
          </w:p>
        </w:tc>
        <w:tc>
          <w:tcPr>
            <w:tcW w:w="1783" w:type="pct"/>
          </w:tcPr>
          <w:p w14:paraId="215928E3">
            <w:pPr>
              <w:spacing w:line="360" w:lineRule="auto"/>
              <w:rPr>
                <w:rFonts w:hint="eastAsia" w:ascii="宋体" w:hAnsi="宋体"/>
                <w:b/>
                <w:color w:val="000000" w:themeColor="text1"/>
                <w:highlight w:val="none"/>
                <w14:textFill>
                  <w14:solidFill>
                    <w14:schemeClr w14:val="tx1"/>
                  </w14:solidFill>
                </w14:textFill>
              </w:rPr>
            </w:pPr>
          </w:p>
        </w:tc>
      </w:tr>
    </w:tbl>
    <w:p w14:paraId="4401308B">
      <w:pPr>
        <w:spacing w:line="360" w:lineRule="auto"/>
        <w:rPr>
          <w:rFonts w:hint="eastAsia" w:ascii="宋体" w:hAnsi="宋体"/>
          <w:color w:val="000000" w:themeColor="text1"/>
          <w:highlight w:val="none"/>
          <w14:textFill>
            <w14:solidFill>
              <w14:schemeClr w14:val="tx1"/>
            </w14:solidFill>
          </w14:textFill>
        </w:rPr>
      </w:pPr>
    </w:p>
    <w:p w14:paraId="7CB00EBF">
      <w:pPr>
        <w:spacing w:line="360" w:lineRule="auto"/>
        <w:jc w:val="center"/>
        <w:rPr>
          <w:rFonts w:hint="eastAsia" w:ascii="宋体" w:hAnsi="宋体"/>
          <w:b/>
          <w:bCs/>
          <w:color w:val="000000" w:themeColor="text1"/>
          <w:sz w:val="36"/>
          <w:highlight w:val="none"/>
          <w14:textFill>
            <w14:solidFill>
              <w14:schemeClr w14:val="tx1"/>
            </w14:solidFill>
          </w14:textFill>
        </w:rPr>
      </w:pPr>
      <w:r>
        <w:rPr>
          <w:rFonts w:ascii="宋体" w:hAnsi="宋体"/>
          <w:b/>
          <w:bCs/>
          <w:color w:val="000000" w:themeColor="text1"/>
          <w:sz w:val="36"/>
          <w:highlight w:val="none"/>
          <w14:textFill>
            <w14:solidFill>
              <w14:schemeClr w14:val="tx1"/>
            </w14:solidFill>
          </w14:textFill>
        </w:rPr>
        <w:br w:type="page"/>
      </w:r>
      <w:bookmarkStart w:id="14" w:name="_Toc489655320"/>
    </w:p>
    <w:p w14:paraId="0932B5D1">
      <w:pPr>
        <w:pStyle w:val="265"/>
        <w:rPr>
          <w:rFonts w:hint="eastAsia"/>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响应文件主要目录</w:t>
      </w:r>
      <w:bookmarkEnd w:id="13"/>
      <w:bookmarkEnd w:id="14"/>
      <w:r>
        <w:rPr>
          <w:color w:val="000000" w:themeColor="text1"/>
          <w:highlight w:val="none"/>
          <w14:textFill>
            <w14:solidFill>
              <w14:schemeClr w14:val="tx1"/>
            </w14:solidFill>
          </w14:textFill>
        </w:rPr>
        <w:t>及相关证明材料格式、附件</w:t>
      </w:r>
    </w:p>
    <w:p w14:paraId="7975D349">
      <w:pPr>
        <w:spacing w:line="360" w:lineRule="auto"/>
        <w:rPr>
          <w:rFonts w:hint="eastAsia" w:ascii="宋体" w:hAnsi="宋体"/>
          <w:color w:val="000000" w:themeColor="text1"/>
          <w:sz w:val="28"/>
          <w:szCs w:val="28"/>
          <w:highlight w:val="none"/>
          <w14:textFill>
            <w14:solidFill>
              <w14:schemeClr w14:val="tx1"/>
            </w14:solidFill>
          </w14:textFill>
        </w:rPr>
      </w:pPr>
    </w:p>
    <w:p w14:paraId="383798D9">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一、响应申请及声明格式</w:t>
      </w:r>
    </w:p>
    <w:p w14:paraId="47EF8417">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二、法定代表人授权书格式</w:t>
      </w:r>
    </w:p>
    <w:p w14:paraId="4AAB363B">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三、响应一览表</w:t>
      </w:r>
    </w:p>
    <w:p w14:paraId="254C410A">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四、资格证明文件</w:t>
      </w:r>
    </w:p>
    <w:p w14:paraId="7967DAAC">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五、技术条款偏离表</w:t>
      </w:r>
    </w:p>
    <w:p w14:paraId="203CE19C">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六、商务条款偏离表</w:t>
      </w:r>
    </w:p>
    <w:p w14:paraId="5AA7F184">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七、评分项审查材料</w:t>
      </w:r>
    </w:p>
    <w:p w14:paraId="77E9389B">
      <w:pPr>
        <w:spacing w:line="360" w:lineRule="auto"/>
        <w:ind w:left="2280" w:hanging="720"/>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八、响应需要的其他证明文件及材料（若有）</w:t>
      </w:r>
    </w:p>
    <w:p w14:paraId="492D827A">
      <w:pPr>
        <w:spacing w:line="360" w:lineRule="auto"/>
        <w:rPr>
          <w:rFonts w:hint="eastAsia" w:ascii="宋体" w:hAnsi="宋体"/>
          <w:color w:val="000000" w:themeColor="text1"/>
          <w:sz w:val="28"/>
          <w:szCs w:val="28"/>
          <w:highlight w:val="none"/>
          <w14:textFill>
            <w14:solidFill>
              <w14:schemeClr w14:val="tx1"/>
            </w14:solidFill>
          </w14:textFill>
        </w:rPr>
      </w:pPr>
    </w:p>
    <w:p w14:paraId="71F35902">
      <w:pPr>
        <w:spacing w:line="360" w:lineRule="auto"/>
        <w:ind w:firstLine="560" w:firstLineChars="20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附件一、无重大违法记录声明格式；</w:t>
      </w:r>
    </w:p>
    <w:p w14:paraId="1FAAA800">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附件二、具备履行合同所必需的设备和专业技术能力的声明格式及证明材料。</w:t>
      </w:r>
    </w:p>
    <w:p w14:paraId="70FBCEA8">
      <w:pPr>
        <w:spacing w:line="360" w:lineRule="auto"/>
        <w:ind w:left="2941" w:leftChars="267" w:hanging="2380" w:hangingChars="850"/>
        <w:jc w:val="left"/>
        <w:rPr>
          <w:rFonts w:hint="eastAsia"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附件三、承诺书</w:t>
      </w:r>
    </w:p>
    <w:p w14:paraId="0733E7E3">
      <w:pPr>
        <w:spacing w:line="360" w:lineRule="auto"/>
        <w:rPr>
          <w:rFonts w:hint="eastAsia" w:ascii="宋体" w:hAnsi="宋体"/>
          <w:b/>
          <w:color w:val="000000" w:themeColor="text1"/>
          <w:szCs w:val="21"/>
          <w:highlight w:val="none"/>
          <w:lang w:val="zh-CN"/>
          <w14:textFill>
            <w14:solidFill>
              <w14:schemeClr w14:val="tx1"/>
            </w14:solidFill>
          </w14:textFill>
        </w:rPr>
      </w:pPr>
      <w:r>
        <w:rPr>
          <w:rFonts w:hint="eastAsia" w:ascii="宋体" w:hAnsi="宋体"/>
          <w:b/>
          <w:color w:val="000000" w:themeColor="text1"/>
          <w:szCs w:val="21"/>
          <w:highlight w:val="none"/>
          <w:lang w:val="zh-CN"/>
          <w14:textFill>
            <w14:solidFill>
              <w14:schemeClr w14:val="tx1"/>
            </w14:solidFill>
          </w14:textFill>
        </w:rPr>
        <w:br w:type="page"/>
      </w:r>
    </w:p>
    <w:p w14:paraId="6D53B5D2">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一、响应申请及声明格式</w:t>
      </w:r>
    </w:p>
    <w:p w14:paraId="3F7328A2">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响应申请及声明</w:t>
      </w:r>
    </w:p>
    <w:p w14:paraId="3FEAA5B2">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27E36526">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根据贵方</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（项目编号：</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）响应邀请，正式授权下述签字人（姓名和职务）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代表供应商（供应商名称）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，提交响应文件。</w:t>
      </w:r>
    </w:p>
    <w:p w14:paraId="59AC2138">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据此函，签字人兹宣布声明和承诺如下：</w:t>
      </w:r>
    </w:p>
    <w:p w14:paraId="3B8346F2">
      <w:pPr>
        <w:pStyle w:val="17"/>
        <w:numPr>
          <w:ilvl w:val="0"/>
          <w:numId w:val="59"/>
        </w:numPr>
        <w:spacing w:line="360" w:lineRule="auto"/>
        <w:ind w:firstLineChars="0"/>
        <w:rPr>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我们的资格条件完全符合本次</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w:t>
      </w:r>
      <w:r>
        <w:rPr>
          <w:color w:val="000000" w:themeColor="text1"/>
          <w:highlight w:val="none"/>
          <w14:textFill>
            <w14:solidFill>
              <w14:schemeClr w14:val="tx1"/>
            </w14:solidFill>
          </w14:textFill>
        </w:rPr>
        <w:t>，我们同意并向贵方提供了与响应有关的所有证据和资料。</w:t>
      </w:r>
    </w:p>
    <w:p w14:paraId="36459771">
      <w:pPr>
        <w:pStyle w:val="17"/>
        <w:numPr>
          <w:ilvl w:val="0"/>
          <w:numId w:val="59"/>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按</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要求，我们的响应</w:t>
      </w:r>
      <w:r>
        <w:rPr>
          <w:rFonts w:hint="eastAsia"/>
          <w:b/>
          <w:color w:val="000000" w:themeColor="text1"/>
          <w:highlight w:val="none"/>
          <w14:textFill>
            <w14:solidFill>
              <w14:schemeClr w14:val="tx1"/>
            </w14:solidFill>
          </w14:textFill>
        </w:rPr>
        <w:t>报</w:t>
      </w:r>
      <w:r>
        <w:rPr>
          <w:b/>
          <w:color w:val="000000" w:themeColor="text1"/>
          <w:highlight w:val="none"/>
          <w14:textFill>
            <w14:solidFill>
              <w14:schemeClr w14:val="tx1"/>
            </w14:solidFill>
          </w14:textFill>
        </w:rPr>
        <w:t>价为：</w:t>
      </w:r>
      <w:r>
        <w:rPr>
          <w:b/>
          <w:color w:val="000000" w:themeColor="text1"/>
          <w:highlight w:val="none"/>
          <w:u w:val="single"/>
          <w14:textFill>
            <w14:solidFill>
              <w14:schemeClr w14:val="tx1"/>
            </w14:solidFill>
          </w14:textFill>
        </w:rPr>
        <w:t>（大写）人民币          （小写：       元人民币）</w:t>
      </w:r>
      <w:r>
        <w:rPr>
          <w:b/>
          <w:color w:val="000000" w:themeColor="text1"/>
          <w:highlight w:val="none"/>
          <w14:textFill>
            <w14:solidFill>
              <w14:schemeClr w14:val="tx1"/>
            </w14:solidFill>
          </w14:textFill>
        </w:rPr>
        <w:t>。</w:t>
      </w:r>
    </w:p>
    <w:p w14:paraId="26CFA89D">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我们已详细审核全部</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文件及其有效补充文件，我们放弃对</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文件任何误解的权利，提交响应文件后，</w:t>
      </w:r>
      <w:r>
        <w:rPr>
          <w:b/>
          <w:color w:val="000000" w:themeColor="text1"/>
          <w:highlight w:val="none"/>
          <w14:textFill>
            <w14:solidFill>
              <w14:schemeClr w14:val="tx1"/>
            </w14:solidFill>
          </w14:textFill>
        </w:rPr>
        <w:t>不对</w:t>
      </w:r>
      <w:r>
        <w:rPr>
          <w:rFonts w:hint="eastAsia"/>
          <w:b/>
          <w:color w:val="000000" w:themeColor="text1"/>
          <w:highlight w:val="none"/>
          <w14:textFill>
            <w14:solidFill>
              <w14:schemeClr w14:val="tx1"/>
            </w14:solidFill>
          </w14:textFill>
        </w:rPr>
        <w:t>采购</w:t>
      </w:r>
      <w:r>
        <w:rPr>
          <w:b/>
          <w:color w:val="000000" w:themeColor="text1"/>
          <w:highlight w:val="none"/>
          <w14:textFill>
            <w14:solidFill>
              <w14:schemeClr w14:val="tx1"/>
            </w14:solidFill>
          </w14:textFill>
        </w:rPr>
        <w:t>文件本身提出质疑</w:t>
      </w:r>
      <w:r>
        <w:rPr>
          <w:color w:val="000000" w:themeColor="text1"/>
          <w:highlight w:val="none"/>
          <w14:textFill>
            <w14:solidFill>
              <w14:schemeClr w14:val="tx1"/>
            </w14:solidFill>
          </w14:textFill>
        </w:rPr>
        <w:t>。</w:t>
      </w:r>
    </w:p>
    <w:p w14:paraId="07844B5B">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我们同意从规定的</w:t>
      </w:r>
      <w:r>
        <w:rPr>
          <w:rFonts w:hint="eastAsia"/>
          <w:color w:val="000000" w:themeColor="text1"/>
          <w:highlight w:val="none"/>
          <w14:textFill>
            <w14:solidFill>
              <w14:schemeClr w14:val="tx1"/>
            </w14:solidFill>
          </w14:textFill>
        </w:rPr>
        <w:t>响应文件开启</w:t>
      </w:r>
      <w:r>
        <w:rPr>
          <w:color w:val="000000" w:themeColor="text1"/>
          <w:highlight w:val="none"/>
          <w14:textFill>
            <w14:solidFill>
              <w14:schemeClr w14:val="tx1"/>
            </w14:solidFill>
          </w14:textFill>
        </w:rPr>
        <w:t>日期起遵循本响应文件，并在规定的响应有效期期满</w:t>
      </w:r>
      <w:r>
        <w:rPr>
          <w:rFonts w:hint="eastAsia"/>
          <w:color w:val="000000" w:themeColor="text1"/>
          <w:highlight w:val="none"/>
          <w14:textFill>
            <w14:solidFill>
              <w14:schemeClr w14:val="tx1"/>
            </w14:solidFill>
          </w14:textFill>
        </w:rPr>
        <w:t>（90天）</w:t>
      </w:r>
      <w:r>
        <w:rPr>
          <w:color w:val="000000" w:themeColor="text1"/>
          <w:highlight w:val="none"/>
          <w14:textFill>
            <w14:solidFill>
              <w14:schemeClr w14:val="tx1"/>
            </w14:solidFill>
          </w14:textFill>
        </w:rPr>
        <w:t>之前均具有约束力。</w:t>
      </w:r>
    </w:p>
    <w:p w14:paraId="794B9E00">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一旦我方成交，我方将根据</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文件的规定严格履行合同，并保证于承诺的时间完成项目的启动等服务，交付采购人验收。</w:t>
      </w:r>
    </w:p>
    <w:p w14:paraId="64F94BD3">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4ADED829">
      <w:pPr>
        <w:pStyle w:val="17"/>
        <w:numPr>
          <w:ilvl w:val="0"/>
          <w:numId w:val="59"/>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与本次响应有关的正式联系方式为：</w:t>
      </w:r>
    </w:p>
    <w:p w14:paraId="6217760F">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地址：</w:t>
      </w:r>
    </w:p>
    <w:p w14:paraId="3918FD22">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电话：</w:t>
      </w:r>
    </w:p>
    <w:p w14:paraId="0EB3D978">
      <w:pPr>
        <w:pStyle w:val="17"/>
        <w:spacing w:after="0" w:line="360" w:lineRule="auto"/>
        <w:ind w:firstLine="480"/>
        <w:rPr>
          <w:color w:val="000000" w:themeColor="text1"/>
          <w:highlight w:val="none"/>
          <w:u w:val="single"/>
          <w14:textFill>
            <w14:solidFill>
              <w14:schemeClr w14:val="tx1"/>
            </w14:solidFill>
          </w14:textFill>
        </w:rPr>
      </w:pPr>
      <w:r>
        <w:rPr>
          <w:color w:val="000000" w:themeColor="text1"/>
          <w:highlight w:val="none"/>
          <w14:textFill>
            <w14:solidFill>
              <w14:schemeClr w14:val="tx1"/>
            </w14:solidFill>
          </w14:textFill>
        </w:rPr>
        <w:t>传真：</w:t>
      </w:r>
    </w:p>
    <w:p w14:paraId="24AA9B73">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开户银行：</w:t>
      </w:r>
    </w:p>
    <w:p w14:paraId="401A4FDD">
      <w:pPr>
        <w:pStyle w:val="17"/>
        <w:spacing w:after="0"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银行账号：</w:t>
      </w:r>
    </w:p>
    <w:p w14:paraId="4C7696E5">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供应商委托代理姓名（签字）：</w:t>
      </w:r>
    </w:p>
    <w:p w14:paraId="7C879F36">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供应商名称（盖章）：</w:t>
      </w:r>
    </w:p>
    <w:p w14:paraId="79F3DA84">
      <w:pPr>
        <w:pStyle w:val="17"/>
        <w:spacing w:after="0" w:line="36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日期：     年   月   日</w:t>
      </w:r>
    </w:p>
    <w:p w14:paraId="1B12FC8E">
      <w:pPr>
        <w:pStyle w:val="17"/>
        <w:spacing w:before="240" w:beforeLines="100"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二、法定代表人授权书格式</w:t>
      </w:r>
    </w:p>
    <w:p w14:paraId="426F9E24">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法定代表人授权委托书</w:t>
      </w:r>
    </w:p>
    <w:p w14:paraId="4F129AA7">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17C3CEC3">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本授权书声明：注册于</w:t>
      </w:r>
      <w:r>
        <w:rPr>
          <w:color w:val="000000" w:themeColor="text1"/>
          <w:highlight w:val="none"/>
          <w:u w:val="single"/>
          <w14:textFill>
            <w14:solidFill>
              <w14:schemeClr w14:val="tx1"/>
            </w14:solidFill>
          </w14:textFill>
        </w:rPr>
        <w:t>（供应商住址）</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的</w:t>
      </w:r>
      <w:r>
        <w:rPr>
          <w:color w:val="000000" w:themeColor="text1"/>
          <w:highlight w:val="none"/>
          <w:u w:val="single"/>
          <w14:textFill>
            <w14:solidFill>
              <w14:schemeClr w14:val="tx1"/>
            </w14:solidFill>
          </w14:textFill>
        </w:rPr>
        <w:t>（供应商名称）</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法定代表人</w:t>
      </w:r>
      <w:r>
        <w:rPr>
          <w:color w:val="000000" w:themeColor="text1"/>
          <w:highlight w:val="none"/>
          <w:u w:val="single"/>
          <w14:textFill>
            <w14:solidFill>
              <w14:schemeClr w14:val="tx1"/>
            </w14:solidFill>
          </w14:textFill>
        </w:rPr>
        <w:t>（法定代表人姓名、职务）</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代表本公司授权在下面签字的</w:t>
      </w:r>
      <w:r>
        <w:rPr>
          <w:color w:val="000000" w:themeColor="text1"/>
          <w:highlight w:val="none"/>
          <w:u w:val="single"/>
          <w14:textFill>
            <w14:solidFill>
              <w14:schemeClr w14:val="tx1"/>
            </w14:solidFill>
          </w14:textFill>
        </w:rPr>
        <w:t xml:space="preserve">（供应商代表姓名、职务）   </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为本公司的合法代理人，就贵方组织的</w:t>
      </w:r>
      <w:r>
        <w:rPr>
          <w:rFonts w:hint="eastAsia"/>
          <w:color w:val="000000" w:themeColor="text1"/>
          <w:highlight w:val="non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w:t>
      </w:r>
      <w:r>
        <w:rPr>
          <w:b/>
          <w:color w:val="000000" w:themeColor="text1"/>
          <w:highlight w:val="none"/>
          <w:u w:val="single"/>
          <w14:textFill>
            <w14:solidFill>
              <w14:schemeClr w14:val="tx1"/>
            </w14:solidFill>
          </w14:textFill>
        </w:rPr>
        <w:t xml:space="preserve">        </w:t>
      </w:r>
      <w:r>
        <w:rPr>
          <w:b/>
          <w:color w:val="000000" w:themeColor="text1"/>
          <w:highlight w:val="none"/>
          <w14:textFill>
            <w14:solidFill>
              <w14:schemeClr w14:val="tx1"/>
            </w14:solidFill>
          </w14:textFill>
        </w:rPr>
        <w:t xml:space="preserve"> </w:t>
      </w:r>
      <w:r>
        <w:rPr>
          <w:color w:val="000000" w:themeColor="text1"/>
          <w:highlight w:val="none"/>
          <w14:textFill>
            <w14:solidFill>
              <w14:schemeClr w14:val="tx1"/>
            </w14:solidFill>
          </w14:textFill>
        </w:rPr>
        <w:t>（项目编号）进行响应，以本公司名义处理一切与之有关的事务。</w:t>
      </w:r>
    </w:p>
    <w:p w14:paraId="4DDFDD5D">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本授权书于</w:t>
      </w:r>
      <w:r>
        <w:rPr>
          <w:color w:val="000000" w:themeColor="text1"/>
          <w:highlight w:val="none"/>
          <w:u w:val="single"/>
          <w14:textFill>
            <w14:solidFill>
              <w14:schemeClr w14:val="tx1"/>
            </w14:solidFill>
          </w14:textFill>
        </w:rPr>
        <w:t xml:space="preserve">      年    月    日</w:t>
      </w:r>
      <w:r>
        <w:rPr>
          <w:color w:val="000000" w:themeColor="text1"/>
          <w:highlight w:val="none"/>
          <w14:textFill>
            <w14:solidFill>
              <w14:schemeClr w14:val="tx1"/>
            </w14:solidFill>
          </w14:textFill>
        </w:rPr>
        <w:t>签字生效，特此声明。</w:t>
      </w:r>
    </w:p>
    <w:p w14:paraId="203C206A">
      <w:pPr>
        <w:adjustRightInd w:val="0"/>
        <w:spacing w:line="360" w:lineRule="auto"/>
        <w:ind w:firstLine="408"/>
        <w:jc w:val="left"/>
        <w:rPr>
          <w:rFonts w:hint="eastAsia" w:ascii="宋体" w:hAnsi="宋体" w:cs="宋体"/>
          <w:color w:val="000000" w:themeColor="text1"/>
          <w:szCs w:val="21"/>
          <w:highlight w:val="none"/>
          <w:lang w:val="zh-CN"/>
          <w14:textFill>
            <w14:solidFill>
              <w14:schemeClr w14:val="tx1"/>
            </w14:solidFill>
          </w14:textFill>
        </w:rPr>
      </w:pPr>
    </w:p>
    <w:p w14:paraId="3DB43E00">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法定代表人（签字）：</w:t>
      </w:r>
    </w:p>
    <w:p w14:paraId="46BB6861">
      <w:pPr>
        <w:adjustRightInd w:val="0"/>
        <w:spacing w:line="360" w:lineRule="auto"/>
        <w:ind w:firstLine="480" w:firstLineChars="20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委托代理人</w:t>
      </w:r>
      <w:r>
        <w:rPr>
          <w:rFonts w:hint="eastAsia" w:ascii="Times New Roman" w:hAnsi="Times New Roman"/>
          <w:color w:val="000000" w:themeColor="text1"/>
          <w:sz w:val="24"/>
          <w:szCs w:val="21"/>
          <w:highlight w:val="none"/>
          <w:lang w:val="zh-CN"/>
          <w14:textFill>
            <w14:solidFill>
              <w14:schemeClr w14:val="tx1"/>
            </w14:solidFill>
          </w14:textFill>
        </w:rPr>
        <w:t>（签字）：</w:t>
      </w:r>
    </w:p>
    <w:p w14:paraId="1EA03E09">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日期：年 月 日</w:t>
      </w:r>
    </w:p>
    <w:p w14:paraId="0478AF39">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24E6C9EB">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法定代表人身份证复印件：</w:t>
      </w:r>
    </w:p>
    <w:p w14:paraId="44DCF64A">
      <w:pPr>
        <w:tabs>
          <w:tab w:val="left" w:pos="1440"/>
        </w:tabs>
        <w:adjustRightInd w:val="0"/>
        <w:spacing w:line="360" w:lineRule="auto"/>
        <w:ind w:firstLine="420"/>
        <w:jc w:val="left"/>
        <w:rPr>
          <w:rFonts w:ascii="Times New Roman" w:hAnsi="Times New Roman"/>
          <w:color w:val="000000" w:themeColor="text1"/>
          <w:sz w:val="24"/>
          <w:szCs w:val="21"/>
          <w:highlight w:val="none"/>
          <w:lang w:val="zh-CN"/>
          <w14:textFill>
            <w14:solidFill>
              <w14:schemeClr w14:val="tx1"/>
            </w14:solidFill>
          </w14:textFill>
        </w:rPr>
      </w:pPr>
    </w:p>
    <w:p w14:paraId="6BE15E61">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身份证复印件：</w:t>
      </w:r>
    </w:p>
    <w:p w14:paraId="3FEEA5DA">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415D645A">
      <w:pPr>
        <w:tabs>
          <w:tab w:val="left" w:pos="1440"/>
        </w:tabs>
        <w:adjustRightInd w:val="0"/>
        <w:spacing w:line="360" w:lineRule="auto"/>
        <w:ind w:firstLine="420"/>
        <w:jc w:val="left"/>
        <w:rPr>
          <w:rFonts w:hint="eastAsia" w:ascii="宋体" w:hAnsi="宋体" w:cs="宋体"/>
          <w:color w:val="000000" w:themeColor="text1"/>
          <w:szCs w:val="21"/>
          <w:highlight w:val="none"/>
          <w14:textFill>
            <w14:solidFill>
              <w14:schemeClr w14:val="tx1"/>
            </w14:solidFill>
          </w14:textFill>
        </w:rPr>
      </w:pPr>
    </w:p>
    <w:p w14:paraId="36DFA777">
      <w:pPr>
        <w:tabs>
          <w:tab w:val="left" w:pos="1440"/>
        </w:tabs>
        <w:adjustRightInd w:val="0"/>
        <w:spacing w:line="360" w:lineRule="auto"/>
        <w:ind w:firstLine="420"/>
        <w:jc w:val="left"/>
        <w:rPr>
          <w:rFonts w:ascii="Times New Roman" w:hAnsi="Times New Roman"/>
          <w:color w:val="000000" w:themeColor="text1"/>
          <w:sz w:val="24"/>
          <w:szCs w:val="21"/>
          <w:highlight w:val="none"/>
          <w14:textFill>
            <w14:solidFill>
              <w14:schemeClr w14:val="tx1"/>
            </w14:solidFill>
          </w14:textFill>
        </w:rPr>
      </w:pPr>
      <w:r>
        <w:rPr>
          <w:rFonts w:hint="eastAsia" w:ascii="Times New Roman" w:hAnsi="Times New Roman"/>
          <w:color w:val="000000" w:themeColor="text1"/>
          <w:sz w:val="24"/>
          <w:szCs w:val="21"/>
          <w:highlight w:val="none"/>
          <w14:textFill>
            <w14:solidFill>
              <w14:schemeClr w14:val="tx1"/>
            </w14:solidFill>
          </w14:textFill>
        </w:rPr>
        <w:t>供应商或分支机构近半年内任意一个月为委托代理</w:t>
      </w:r>
      <w:r>
        <w:rPr>
          <w:rFonts w:hint="eastAsia" w:ascii="Times New Roman" w:hAnsi="Times New Roman"/>
          <w:color w:val="000000" w:themeColor="text1"/>
          <w:sz w:val="24"/>
          <w:szCs w:val="21"/>
          <w:highlight w:val="none"/>
          <w:lang w:val="zh-CN"/>
          <w14:textFill>
            <w14:solidFill>
              <w14:schemeClr w14:val="tx1"/>
            </w14:solidFill>
          </w14:textFill>
        </w:rPr>
        <w:t>人</w:t>
      </w:r>
      <w:r>
        <w:rPr>
          <w:rFonts w:hint="eastAsia" w:ascii="Times New Roman" w:hAnsi="Times New Roman"/>
          <w:color w:val="000000" w:themeColor="text1"/>
          <w:sz w:val="24"/>
          <w:szCs w:val="21"/>
          <w:highlight w:val="none"/>
          <w14:textFill>
            <w14:solidFill>
              <w14:schemeClr w14:val="tx1"/>
            </w14:solidFill>
          </w14:textFill>
        </w:rPr>
        <w:t>缴纳社保的证明：</w:t>
      </w:r>
    </w:p>
    <w:p w14:paraId="3D2840BF">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4C48A1EC">
      <w:pPr>
        <w:tabs>
          <w:tab w:val="left" w:pos="1440"/>
        </w:tabs>
        <w:adjustRightInd w:val="0"/>
        <w:spacing w:line="360" w:lineRule="auto"/>
        <w:ind w:firstLine="420"/>
        <w:jc w:val="left"/>
        <w:rPr>
          <w:rFonts w:hint="eastAsia" w:ascii="宋体" w:hAnsi="宋体" w:cs="宋体"/>
          <w:color w:val="000000" w:themeColor="text1"/>
          <w:szCs w:val="21"/>
          <w:highlight w:val="none"/>
          <w:lang w:val="zh-CN"/>
          <w14:textFill>
            <w14:solidFill>
              <w14:schemeClr w14:val="tx1"/>
            </w14:solidFill>
          </w14:textFill>
        </w:rPr>
      </w:pPr>
    </w:p>
    <w:p w14:paraId="1978BFF7">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4869296B">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三、</w:t>
      </w:r>
      <w:r>
        <w:rPr>
          <w:rFonts w:hint="eastAsia"/>
          <w:b/>
          <w:color w:val="000000" w:themeColor="text1"/>
          <w:highlight w:val="none"/>
          <w14:textFill>
            <w14:solidFill>
              <w14:schemeClr w14:val="tx1"/>
            </w14:solidFill>
          </w14:textFill>
        </w:rPr>
        <w:t>响应</w:t>
      </w:r>
      <w:r>
        <w:rPr>
          <w:b/>
          <w:color w:val="000000" w:themeColor="text1"/>
          <w:highlight w:val="none"/>
          <w14:textFill>
            <w14:solidFill>
              <w14:schemeClr w14:val="tx1"/>
            </w14:solidFill>
          </w14:textFill>
        </w:rPr>
        <w:t>一览表</w:t>
      </w:r>
    </w:p>
    <w:p w14:paraId="0566BAAD">
      <w:pPr>
        <w:spacing w:line="360" w:lineRule="auto"/>
        <w:jc w:val="center"/>
        <w:rPr>
          <w:rFonts w:hint="eastAsia" w:asciiTheme="majorEastAsia" w:hAnsiTheme="majorEastAsia" w:eastAsiaTheme="majorEastAsia"/>
          <w:b/>
          <w:sz w:val="24"/>
          <w:highlight w:val="none"/>
        </w:rPr>
      </w:pPr>
      <w:r>
        <w:rPr>
          <w:rFonts w:hint="eastAsia" w:asciiTheme="majorEastAsia" w:hAnsiTheme="majorEastAsia" w:eastAsiaTheme="majorEastAsia"/>
          <w:b/>
          <w:sz w:val="24"/>
          <w:highlight w:val="none"/>
        </w:rPr>
        <w:t>响应</w:t>
      </w:r>
      <w:r>
        <w:rPr>
          <w:rFonts w:asciiTheme="majorEastAsia" w:hAnsiTheme="majorEastAsia" w:eastAsiaTheme="majorEastAsia"/>
          <w:b/>
          <w:sz w:val="24"/>
          <w:highlight w:val="none"/>
        </w:rPr>
        <w:t>一览表</w:t>
      </w:r>
    </w:p>
    <w:p w14:paraId="5114394A">
      <w:pPr>
        <w:pStyle w:val="13"/>
        <w:spacing w:line="360" w:lineRule="auto"/>
        <w:rPr>
          <w:sz w:val="22"/>
          <w:szCs w:val="22"/>
          <w:highlight w:val="none"/>
        </w:rPr>
      </w:pPr>
      <w:bookmarkStart w:id="15" w:name="_Hlk179882269"/>
      <w:r>
        <w:rPr>
          <w:rFonts w:hint="eastAsia" w:ascii="宋体" w:hAnsi="宋体" w:cs="宋体"/>
          <w:sz w:val="22"/>
          <w:szCs w:val="22"/>
          <w:highlight w:val="none"/>
        </w:rPr>
        <w:t>项目编号：</w:t>
      </w:r>
    </w:p>
    <w:p w14:paraId="0FE6BFCD">
      <w:pPr>
        <w:pStyle w:val="13"/>
        <w:spacing w:line="360" w:lineRule="auto"/>
        <w:ind w:left="840" w:hanging="420"/>
        <w:rPr>
          <w:rFonts w:hint="eastAsia" w:ascii="宋体" w:hAnsi="宋体" w:cs="宋体"/>
          <w:sz w:val="22"/>
          <w:szCs w:val="22"/>
          <w:highlight w:val="none"/>
        </w:rPr>
      </w:pPr>
      <w:r>
        <w:rPr>
          <w:rFonts w:hint="eastAsia" w:ascii="宋体" w:hAnsi="宋体" w:cs="宋体"/>
          <w:sz w:val="22"/>
          <w:szCs w:val="22"/>
          <w:highlight w:val="none"/>
        </w:rPr>
        <w:t>项目名称：</w:t>
      </w:r>
    </w:p>
    <w:bookmarkEnd w:id="15"/>
    <w:tbl>
      <w:tblPr>
        <w:tblStyle w:val="45"/>
        <w:tblW w:w="4196"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108" w:type="dxa"/>
          <w:bottom w:w="0" w:type="dxa"/>
          <w:right w:w="108" w:type="dxa"/>
        </w:tblCellMar>
      </w:tblPr>
      <w:tblGrid>
        <w:gridCol w:w="1932"/>
        <w:gridCol w:w="1321"/>
        <w:gridCol w:w="2397"/>
        <w:gridCol w:w="1745"/>
        <w:gridCol w:w="732"/>
      </w:tblGrid>
      <w:tr w14:paraId="7551BD0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88" w:type="pct"/>
            <w:vAlign w:val="center"/>
          </w:tcPr>
          <w:p w14:paraId="2258CEE0">
            <w:pPr>
              <w:widowControl/>
              <w:jc w:val="center"/>
              <w:rPr>
                <w:rFonts w:hint="eastAsia" w:ascii="宋体" w:hAnsi="宋体"/>
                <w:b/>
                <w:bCs/>
                <w:sz w:val="24"/>
                <w:szCs w:val="24"/>
                <w:highlight w:val="none"/>
              </w:rPr>
            </w:pPr>
            <w:r>
              <w:rPr>
                <w:rFonts w:hint="eastAsia" w:ascii="宋体" w:hAnsi="宋体"/>
                <w:b/>
                <w:bCs/>
                <w:sz w:val="24"/>
                <w:szCs w:val="24"/>
                <w:highlight w:val="none"/>
              </w:rPr>
              <w:t>产品</w:t>
            </w:r>
          </w:p>
        </w:tc>
        <w:tc>
          <w:tcPr>
            <w:tcW w:w="812" w:type="pct"/>
            <w:vAlign w:val="center"/>
          </w:tcPr>
          <w:p w14:paraId="44053214">
            <w:pPr>
              <w:widowControl/>
              <w:jc w:val="center"/>
              <w:rPr>
                <w:rFonts w:hint="eastAsia" w:ascii="宋体" w:hAnsi="宋体"/>
                <w:b/>
                <w:bCs/>
                <w:sz w:val="24"/>
                <w:szCs w:val="24"/>
                <w:highlight w:val="none"/>
              </w:rPr>
            </w:pPr>
            <w:r>
              <w:rPr>
                <w:rFonts w:ascii="宋体" w:hAnsi="宋体"/>
                <w:b/>
                <w:bCs/>
                <w:sz w:val="24"/>
                <w:szCs w:val="24"/>
                <w:highlight w:val="none"/>
              </w:rPr>
              <w:t>数量</w:t>
            </w:r>
          </w:p>
        </w:tc>
        <w:tc>
          <w:tcPr>
            <w:tcW w:w="1474" w:type="pct"/>
            <w:vAlign w:val="center"/>
          </w:tcPr>
          <w:p w14:paraId="165F06C7">
            <w:pPr>
              <w:widowControl/>
              <w:jc w:val="center"/>
              <w:rPr>
                <w:rFonts w:hint="eastAsia" w:ascii="宋体" w:hAnsi="宋体" w:cs="宋体"/>
                <w:b/>
                <w:bCs/>
                <w:sz w:val="24"/>
                <w:szCs w:val="24"/>
                <w:highlight w:val="none"/>
              </w:rPr>
            </w:pPr>
            <w:r>
              <w:rPr>
                <w:rFonts w:hint="eastAsia" w:ascii="宋体" w:hAnsi="宋体" w:cs="宋体"/>
                <w:b/>
                <w:bCs/>
                <w:sz w:val="24"/>
                <w:szCs w:val="24"/>
                <w:highlight w:val="none"/>
              </w:rPr>
              <w:t>报价金额（人民币）</w:t>
            </w:r>
          </w:p>
        </w:tc>
        <w:tc>
          <w:tcPr>
            <w:tcW w:w="1073" w:type="pct"/>
            <w:vAlign w:val="center"/>
          </w:tcPr>
          <w:p w14:paraId="5693CE24">
            <w:pPr>
              <w:widowControl/>
              <w:jc w:val="center"/>
              <w:rPr>
                <w:rFonts w:hint="eastAsia" w:ascii="宋体" w:hAnsi="宋体"/>
                <w:b/>
                <w:bCs/>
                <w:sz w:val="24"/>
                <w:szCs w:val="24"/>
                <w:highlight w:val="none"/>
              </w:rPr>
            </w:pPr>
            <w:r>
              <w:rPr>
                <w:rFonts w:hint="eastAsia" w:ascii="宋体" w:hAnsi="宋体" w:cs="宋体"/>
                <w:b/>
                <w:bCs/>
                <w:sz w:val="24"/>
                <w:szCs w:val="24"/>
                <w:highlight w:val="none"/>
              </w:rPr>
              <w:t>产品品牌/型号</w:t>
            </w:r>
          </w:p>
        </w:tc>
        <w:tc>
          <w:tcPr>
            <w:tcW w:w="450" w:type="pct"/>
            <w:vAlign w:val="center"/>
          </w:tcPr>
          <w:p w14:paraId="7F5830B6">
            <w:pPr>
              <w:widowControl/>
              <w:jc w:val="center"/>
              <w:rPr>
                <w:rFonts w:hint="eastAsia" w:ascii="宋体" w:hAnsi="宋体"/>
                <w:b/>
                <w:bCs/>
                <w:sz w:val="24"/>
                <w:szCs w:val="24"/>
                <w:highlight w:val="none"/>
              </w:rPr>
            </w:pPr>
            <w:r>
              <w:rPr>
                <w:rFonts w:hint="eastAsia" w:ascii="宋体" w:hAnsi="宋体" w:cs="宋体"/>
                <w:b/>
                <w:bCs/>
                <w:sz w:val="24"/>
                <w:szCs w:val="24"/>
                <w:highlight w:val="none"/>
              </w:rPr>
              <w:t>限价</w:t>
            </w:r>
          </w:p>
        </w:tc>
      </w:tr>
      <w:tr w14:paraId="22E53E4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188" w:type="pct"/>
            <w:vAlign w:val="center"/>
          </w:tcPr>
          <w:p w14:paraId="5BCEEDE5">
            <w:pPr>
              <w:widowControl/>
              <w:jc w:val="center"/>
              <w:rPr>
                <w:rFonts w:hint="eastAsia" w:ascii="宋体" w:hAnsi="宋体" w:cs="宋体"/>
                <w:szCs w:val="21"/>
                <w:highlight w:val="none"/>
              </w:rPr>
            </w:pPr>
            <w:r>
              <w:rPr>
                <w:rFonts w:hint="eastAsia" w:asciiTheme="majorEastAsia" w:hAnsiTheme="majorEastAsia" w:eastAsiaTheme="majorEastAsia"/>
                <w:szCs w:val="24"/>
                <w:highlight w:val="none"/>
              </w:rPr>
              <w:t>能量色散型X射线荧光光谱仪</w:t>
            </w:r>
          </w:p>
        </w:tc>
        <w:tc>
          <w:tcPr>
            <w:tcW w:w="812" w:type="pct"/>
            <w:vAlign w:val="center"/>
          </w:tcPr>
          <w:p w14:paraId="2C89575D">
            <w:pPr>
              <w:widowControl/>
              <w:jc w:val="center"/>
              <w:rPr>
                <w:rFonts w:hint="eastAsia" w:ascii="宋体" w:hAnsi="宋体" w:cs="宋体"/>
                <w:szCs w:val="21"/>
                <w:highlight w:val="none"/>
              </w:rPr>
            </w:pPr>
            <w:r>
              <w:rPr>
                <w:rFonts w:hint="eastAsia" w:ascii="宋体" w:hAnsi="宋体" w:cs="宋体"/>
                <w:szCs w:val="21"/>
                <w:highlight w:val="none"/>
              </w:rPr>
              <w:t>1套</w:t>
            </w:r>
          </w:p>
        </w:tc>
        <w:tc>
          <w:tcPr>
            <w:tcW w:w="1474" w:type="pct"/>
            <w:vAlign w:val="center"/>
          </w:tcPr>
          <w:p w14:paraId="2BE95737">
            <w:pPr>
              <w:widowControl/>
              <w:jc w:val="center"/>
              <w:rPr>
                <w:rFonts w:hint="eastAsia" w:asciiTheme="majorEastAsia" w:hAnsiTheme="majorEastAsia" w:eastAsiaTheme="majorEastAsia"/>
                <w:szCs w:val="24"/>
                <w:highlight w:val="none"/>
              </w:rPr>
            </w:pPr>
            <w:r>
              <w:rPr>
                <w:rFonts w:hint="eastAsia" w:asciiTheme="majorEastAsia" w:hAnsiTheme="majorEastAsia" w:eastAsiaTheme="majorEastAsia"/>
                <w:szCs w:val="24"/>
                <w:highlight w:val="none"/>
              </w:rPr>
              <w:t xml:space="preserve">小写：                   </w:t>
            </w:r>
          </w:p>
          <w:p w14:paraId="31C396F3">
            <w:pPr>
              <w:widowControl/>
              <w:jc w:val="center"/>
              <w:rPr>
                <w:rFonts w:hint="eastAsia" w:ascii="宋体" w:hAnsi="宋体" w:cs="宋体"/>
                <w:sz w:val="24"/>
                <w:szCs w:val="24"/>
                <w:highlight w:val="none"/>
              </w:rPr>
            </w:pPr>
            <w:r>
              <w:rPr>
                <w:rFonts w:hint="eastAsia" w:asciiTheme="majorEastAsia" w:hAnsiTheme="majorEastAsia" w:eastAsiaTheme="majorEastAsia"/>
                <w:szCs w:val="24"/>
                <w:highlight w:val="none"/>
              </w:rPr>
              <w:t xml:space="preserve">大写：             </w:t>
            </w:r>
            <w:r>
              <w:rPr>
                <w:rFonts w:hint="eastAsia" w:ascii="宋体" w:hAnsi="宋体" w:cs="宋体"/>
                <w:sz w:val="24"/>
                <w:szCs w:val="24"/>
                <w:highlight w:val="none"/>
                <w:u w:val="single"/>
              </w:rPr>
              <w:t xml:space="preserve">     </w:t>
            </w:r>
            <w:r>
              <w:rPr>
                <w:rFonts w:hint="eastAsia" w:ascii="宋体" w:hAnsi="宋体" w:cs="宋体"/>
                <w:sz w:val="24"/>
                <w:highlight w:val="none"/>
                <w:u w:val="single"/>
              </w:rPr>
              <w:t xml:space="preserve">              </w:t>
            </w:r>
          </w:p>
        </w:tc>
        <w:tc>
          <w:tcPr>
            <w:tcW w:w="1073" w:type="pct"/>
            <w:vAlign w:val="center"/>
          </w:tcPr>
          <w:p w14:paraId="3782A412">
            <w:pPr>
              <w:spacing w:line="360" w:lineRule="auto"/>
              <w:jc w:val="center"/>
              <w:rPr>
                <w:rFonts w:hint="eastAsia" w:ascii="宋体" w:hAnsi="宋体" w:cs="宋体"/>
                <w:szCs w:val="21"/>
                <w:highlight w:val="none"/>
              </w:rPr>
            </w:pPr>
          </w:p>
        </w:tc>
        <w:tc>
          <w:tcPr>
            <w:tcW w:w="450" w:type="pct"/>
            <w:vAlign w:val="center"/>
          </w:tcPr>
          <w:p w14:paraId="29DD1E6E">
            <w:pPr>
              <w:widowControl/>
              <w:jc w:val="center"/>
              <w:rPr>
                <w:rFonts w:hint="eastAsia" w:ascii="宋体" w:hAnsi="宋体" w:cs="宋体"/>
                <w:b/>
                <w:bCs/>
                <w:szCs w:val="21"/>
                <w:highlight w:val="none"/>
              </w:rPr>
            </w:pPr>
            <w:r>
              <w:rPr>
                <w:rFonts w:hint="eastAsia" w:ascii="宋体" w:hAnsi="宋体" w:cs="宋体"/>
                <w:b/>
                <w:bCs/>
                <w:szCs w:val="21"/>
                <w:highlight w:val="none"/>
              </w:rPr>
              <w:t>60</w:t>
            </w:r>
            <w:r>
              <w:rPr>
                <w:rFonts w:hint="eastAsia" w:ascii="宋体" w:hAnsi="宋体"/>
                <w:b/>
                <w:bCs/>
                <w:szCs w:val="21"/>
                <w:highlight w:val="none"/>
              </w:rPr>
              <w:t>万元</w:t>
            </w:r>
          </w:p>
        </w:tc>
      </w:tr>
    </w:tbl>
    <w:p w14:paraId="4F92D4E0">
      <w:pPr>
        <w:spacing w:before="480" w:beforeLines="2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供应商</w:t>
      </w:r>
      <w:r>
        <w:rPr>
          <w:rFonts w:asciiTheme="majorEastAsia" w:hAnsiTheme="majorEastAsia" w:eastAsiaTheme="majorEastAsia"/>
          <w:highlight w:val="none"/>
        </w:rPr>
        <w:t>名称：</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（盖单位公章）</w:t>
      </w:r>
    </w:p>
    <w:p w14:paraId="4EFD8039">
      <w:pPr>
        <w:spacing w:before="240" w:beforeLines="100" w:after="240" w:afterLines="100" w:line="360" w:lineRule="auto"/>
        <w:jc w:val="right"/>
        <w:rPr>
          <w:rFonts w:hint="eastAsia" w:asciiTheme="majorEastAsia" w:hAnsiTheme="majorEastAsia" w:eastAsiaTheme="majorEastAsia"/>
          <w:highlight w:val="none"/>
        </w:rPr>
      </w:pPr>
      <w:r>
        <w:rPr>
          <w:rFonts w:asciiTheme="majorEastAsia" w:hAnsiTheme="majorEastAsia" w:eastAsiaTheme="majorEastAsia"/>
          <w:highlight w:val="none"/>
        </w:rPr>
        <w:t>法定代表人或者其委托代理人：</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（签字）</w:t>
      </w:r>
    </w:p>
    <w:p w14:paraId="6E2CE54B">
      <w:pPr>
        <w:spacing w:before="240" w:beforeLines="100" w:after="240" w:afterLines="100" w:line="360" w:lineRule="auto"/>
        <w:jc w:val="right"/>
        <w:rPr>
          <w:rFonts w:hint="eastAsia" w:asciiTheme="majorEastAsia" w:hAnsiTheme="majorEastAsia" w:eastAsiaTheme="majorEastAsia"/>
          <w:highlight w:val="none"/>
        </w:rPr>
      </w:pPr>
      <w:r>
        <w:rPr>
          <w:rFonts w:hint="eastAsia" w:asciiTheme="majorEastAsia" w:hAnsiTheme="majorEastAsia" w:eastAsiaTheme="majorEastAsia"/>
          <w:highlight w:val="none"/>
        </w:rPr>
        <w:t>日期：</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年</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月</w:t>
      </w:r>
      <w:r>
        <w:rPr>
          <w:rFonts w:asciiTheme="majorEastAsia" w:hAnsiTheme="majorEastAsia" w:eastAsiaTheme="majorEastAsia"/>
          <w:highlight w:val="none"/>
          <w:u w:val="single"/>
        </w:rPr>
        <w:t xml:space="preserve">      </w:t>
      </w:r>
      <w:r>
        <w:rPr>
          <w:rFonts w:asciiTheme="majorEastAsia" w:hAnsiTheme="majorEastAsia" w:eastAsiaTheme="majorEastAsia"/>
          <w:highlight w:val="none"/>
        </w:rPr>
        <w:t>日</w:t>
      </w:r>
    </w:p>
    <w:p w14:paraId="4B655F3D">
      <w:pPr>
        <w:spacing w:line="360" w:lineRule="auto"/>
        <w:rPr>
          <w:rFonts w:hint="eastAsia" w:asciiTheme="majorEastAsia" w:hAnsiTheme="majorEastAsia" w:eastAsiaTheme="majorEastAsia"/>
          <w:b/>
          <w:bCs/>
          <w:highlight w:val="none"/>
        </w:rPr>
      </w:pPr>
      <w:r>
        <w:rPr>
          <w:rFonts w:asciiTheme="majorEastAsia" w:hAnsiTheme="majorEastAsia" w:eastAsiaTheme="majorEastAsia"/>
          <w:b/>
          <w:bCs/>
          <w:highlight w:val="none"/>
        </w:rPr>
        <w:t>注：</w:t>
      </w:r>
    </w:p>
    <w:p w14:paraId="0B037DB5">
      <w:pPr>
        <w:pStyle w:val="19"/>
        <w:spacing w:line="360" w:lineRule="auto"/>
        <w:ind w:left="0" w:leftChars="0"/>
        <w:rPr>
          <w:rFonts w:eastAsiaTheme="majorEastAsia"/>
          <w:highlight w:val="none"/>
        </w:rPr>
      </w:pPr>
      <w:r>
        <w:rPr>
          <w:rFonts w:hint="eastAsia" w:asciiTheme="majorEastAsia" w:hAnsiTheme="majorEastAsia" w:eastAsiaTheme="majorEastAsia"/>
          <w:szCs w:val="21"/>
          <w:highlight w:val="none"/>
        </w:rPr>
        <w:t>1.供应商不得实质性改动响应一览表格式及内容。</w:t>
      </w:r>
    </w:p>
    <w:p w14:paraId="1FFA345D">
      <w:pPr>
        <w:spacing w:line="360" w:lineRule="auto"/>
        <w:rPr>
          <w:highlight w:val="none"/>
        </w:rPr>
      </w:pPr>
      <w:r>
        <w:rPr>
          <w:rFonts w:hint="eastAsia" w:asciiTheme="majorEastAsia" w:hAnsiTheme="majorEastAsia" w:eastAsiaTheme="majorEastAsia"/>
          <w:highlight w:val="none"/>
        </w:rPr>
        <w:t>2.响应一览表除了装订在</w:t>
      </w:r>
      <w:r>
        <w:rPr>
          <w:rFonts w:hint="eastAsia"/>
          <w:highlight w:val="none"/>
        </w:rPr>
        <w:t>响应文件中以外，还需要</w:t>
      </w:r>
      <w:r>
        <w:rPr>
          <w:rFonts w:hint="eastAsia"/>
          <w:b/>
          <w:bCs/>
          <w:highlight w:val="none"/>
        </w:rPr>
        <w:t>提供一份单独密封的响应一览表及响应报价清单（如有），单独密封的响应一览表及响应报价清单（如有）仅是为方便唱标所用</w:t>
      </w:r>
      <w:r>
        <w:rPr>
          <w:rFonts w:hint="eastAsia"/>
          <w:highlight w:val="none"/>
        </w:rPr>
        <w:t>，如未提供，不构成响应文件的完整性偏离。</w:t>
      </w:r>
    </w:p>
    <w:p w14:paraId="5CB7A2AF">
      <w:pPr>
        <w:spacing w:line="360" w:lineRule="auto"/>
        <w:rPr>
          <w:rFonts w:hint="eastAsia" w:asciiTheme="majorEastAsia" w:hAnsiTheme="majorEastAsia" w:eastAsiaTheme="majorEastAsia"/>
          <w:highlight w:val="none"/>
        </w:rPr>
      </w:pPr>
      <w:r>
        <w:rPr>
          <w:rFonts w:hint="eastAsia"/>
          <w:highlight w:val="none"/>
        </w:rPr>
        <w:t>3</w:t>
      </w:r>
      <w:r>
        <w:rPr>
          <w:highlight w:val="none"/>
        </w:rPr>
        <w:t>.</w:t>
      </w:r>
      <w:r>
        <w:rPr>
          <w:rFonts w:asciiTheme="majorEastAsia" w:hAnsiTheme="majorEastAsia" w:eastAsiaTheme="majorEastAsia"/>
          <w:highlight w:val="none"/>
        </w:rPr>
        <w:t xml:space="preserve"> </w:t>
      </w:r>
      <w:r>
        <w:rPr>
          <w:rFonts w:hint="eastAsia" w:asciiTheme="majorEastAsia" w:hAnsiTheme="majorEastAsia" w:eastAsiaTheme="majorEastAsia"/>
          <w:highlight w:val="none"/>
        </w:rPr>
        <w:t>响应</w:t>
      </w:r>
      <w:r>
        <w:rPr>
          <w:rFonts w:asciiTheme="majorEastAsia" w:hAnsiTheme="majorEastAsia" w:eastAsiaTheme="majorEastAsia"/>
          <w:highlight w:val="none"/>
        </w:rPr>
        <w:t>报价不得超过最高限价，否则作无效</w:t>
      </w:r>
      <w:r>
        <w:rPr>
          <w:rFonts w:hint="eastAsia" w:asciiTheme="majorEastAsia" w:hAnsiTheme="majorEastAsia" w:eastAsiaTheme="majorEastAsia"/>
          <w:highlight w:val="none"/>
        </w:rPr>
        <w:t>响应</w:t>
      </w:r>
      <w:r>
        <w:rPr>
          <w:rFonts w:asciiTheme="majorEastAsia" w:hAnsiTheme="majorEastAsia" w:eastAsiaTheme="majorEastAsia"/>
          <w:highlight w:val="none"/>
        </w:rPr>
        <w:t>处理</w:t>
      </w:r>
      <w:r>
        <w:rPr>
          <w:rFonts w:hint="eastAsia" w:asciiTheme="majorEastAsia" w:hAnsiTheme="majorEastAsia" w:eastAsiaTheme="majorEastAsia"/>
          <w:highlight w:val="none"/>
        </w:rPr>
        <w:t>。</w:t>
      </w:r>
    </w:p>
    <w:p w14:paraId="0BE8F7AF">
      <w:pPr>
        <w:pStyle w:val="285"/>
        <w:ind w:firstLine="0"/>
        <w:rPr>
          <w:rFonts w:hint="eastAsia" w:cs="宋体"/>
          <w:sz w:val="21"/>
          <w:highlight w:val="none"/>
        </w:rPr>
      </w:pPr>
      <w:r>
        <w:rPr>
          <w:rFonts w:hint="eastAsia" w:cs="宋体"/>
          <w:sz w:val="21"/>
          <w:highlight w:val="none"/>
        </w:rPr>
        <w:t>4.本项目选定的外贸代理公司为南京邮电大学入围范围内的代理公司，南京邮电大学协助办理入关、免税等相关证明材料手续。</w:t>
      </w:r>
    </w:p>
    <w:p w14:paraId="03729B77">
      <w:pPr>
        <w:pStyle w:val="285"/>
        <w:ind w:firstLine="210" w:firstLineChars="100"/>
        <w:rPr>
          <w:rFonts w:hint="eastAsia" w:cs="宋体"/>
          <w:sz w:val="21"/>
          <w:highlight w:val="none"/>
        </w:rPr>
      </w:pPr>
      <w:r>
        <w:rPr>
          <w:rFonts w:hint="eastAsia" w:cs="宋体"/>
          <w:sz w:val="21"/>
          <w:highlight w:val="none"/>
        </w:rPr>
        <w:t>本项目外贸代理包干服务费率为：0.07美元。若代理服务费金额＜2000元人民币，则按2000元人民币收取；若代理服务费金额＞20000元人民币，则按20000元人民币收取。</w:t>
      </w:r>
    </w:p>
    <w:p w14:paraId="5EC2E21F">
      <w:pPr>
        <w:pStyle w:val="285"/>
        <w:ind w:firstLine="210" w:firstLineChars="100"/>
        <w:rPr>
          <w:rFonts w:hint="eastAsia" w:cs="宋体"/>
          <w:sz w:val="21"/>
          <w:highlight w:val="none"/>
        </w:rPr>
      </w:pPr>
      <w:r>
        <w:rPr>
          <w:rFonts w:hint="eastAsia" w:cs="宋体"/>
          <w:sz w:val="21"/>
          <w:highlight w:val="none"/>
        </w:rPr>
        <w:t>外贸代理包干服务费包含：银行费用、国内运费、报关费用、港杂费用、港口至甲方目的现场运保费、办理各项证书、代理报酬等一切费用。</w:t>
      </w:r>
    </w:p>
    <w:p w14:paraId="75699A72">
      <w:pPr>
        <w:pStyle w:val="285"/>
        <w:ind w:firstLine="210" w:firstLineChars="100"/>
        <w:rPr>
          <w:rFonts w:hint="eastAsia" w:cs="宋体"/>
          <w:sz w:val="21"/>
          <w:highlight w:val="none"/>
        </w:rPr>
      </w:pPr>
      <w:r>
        <w:rPr>
          <w:rFonts w:hint="eastAsia" w:cs="宋体"/>
          <w:sz w:val="21"/>
          <w:highlight w:val="none"/>
        </w:rPr>
        <w:t>供应商所投产品如为进口产品，外贸代理费应包含在人民币总报价中，请在报价时综合考虑相关费用。</w:t>
      </w:r>
    </w:p>
    <w:p w14:paraId="6F5709C9">
      <w:pPr>
        <w:spacing w:line="360" w:lineRule="auto"/>
        <w:rPr>
          <w:rFonts w:hint="eastAsia" w:asciiTheme="majorEastAsia" w:hAnsiTheme="majorEastAsia" w:eastAsiaTheme="majorEastAsia"/>
          <w:highlight w:val="none"/>
        </w:rPr>
      </w:pPr>
    </w:p>
    <w:p w14:paraId="791F6651">
      <w:pPr>
        <w:spacing w:line="360" w:lineRule="auto"/>
        <w:rPr>
          <w:rFonts w:hint="eastAsia" w:asciiTheme="majorEastAsia" w:hAnsiTheme="majorEastAsia" w:eastAsiaTheme="majorEastAsia"/>
          <w:highlight w:val="none"/>
        </w:rPr>
      </w:pPr>
    </w:p>
    <w:p w14:paraId="44A52CD5">
      <w:pPr>
        <w:spacing w:line="360" w:lineRule="auto"/>
        <w:jc w:val="left"/>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FB5C784">
      <w:pPr>
        <w:pStyle w:val="17"/>
        <w:spacing w:line="360" w:lineRule="auto"/>
        <w:ind w:firstLine="482"/>
        <w:outlineLvl w:val="1"/>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四、资格证明文件</w:t>
      </w:r>
    </w:p>
    <w:p w14:paraId="4BB3C827">
      <w:pPr>
        <w:pStyle w:val="269"/>
        <w:shd w:val="clear" w:color="auto" w:fill="auto"/>
        <w:spacing w:line="360" w:lineRule="auto"/>
        <w:outlineLvl w:val="9"/>
        <w:rPr>
          <w:rFonts w:hint="eastAsia"/>
          <w:color w:val="000000" w:themeColor="text1"/>
          <w:highlight w:val="none"/>
          <w14:textFill>
            <w14:solidFill>
              <w14:schemeClr w14:val="tx1"/>
            </w14:solidFill>
          </w14:textFill>
        </w:rPr>
      </w:pPr>
      <w:bookmarkStart w:id="16" w:name="_Toc489655335"/>
      <w:r>
        <w:rPr>
          <w:color w:val="000000" w:themeColor="text1"/>
          <w:highlight w:val="none"/>
          <w14:textFill>
            <w14:solidFill>
              <w14:schemeClr w14:val="tx1"/>
            </w14:solidFill>
          </w14:textFill>
        </w:rPr>
        <w:t>资格证明文件</w:t>
      </w:r>
      <w:bookmarkEnd w:id="16"/>
    </w:p>
    <w:p w14:paraId="4B1258A8">
      <w:pPr>
        <w:pStyle w:val="17"/>
        <w:numPr>
          <w:ilvl w:val="0"/>
          <w:numId w:val="60"/>
        </w:numPr>
        <w:spacing w:line="360" w:lineRule="auto"/>
        <w:ind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满足《中华人民共和国政府采购法》第二十二条规定：</w:t>
      </w:r>
    </w:p>
    <w:p w14:paraId="19E012BB">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具有独立承担民事责任的能力（提供法人或者其他组织的营业执照</w:t>
      </w:r>
      <w:r>
        <w:rPr>
          <w:rFonts w:hint="eastAsia"/>
          <w:color w:val="000000" w:themeColor="text1"/>
          <w:highlight w:val="none"/>
          <w14:textFill>
            <w14:solidFill>
              <w14:schemeClr w14:val="tx1"/>
            </w14:solidFill>
          </w14:textFill>
        </w:rPr>
        <w:t>等证明材料</w:t>
      </w:r>
      <w:r>
        <w:rPr>
          <w:color w:val="000000" w:themeColor="text1"/>
          <w:highlight w:val="none"/>
          <w14:textFill>
            <w14:solidFill>
              <w14:schemeClr w14:val="tx1"/>
            </w14:solidFill>
          </w14:textFill>
        </w:rPr>
        <w:t>复印件加盖公章，自然人的身份证复印件加盖公章）；</w:t>
      </w:r>
    </w:p>
    <w:p w14:paraId="443B406A">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具有良好的商业信誉和健全的财务会计制度（</w:t>
      </w:r>
      <w:r>
        <w:rPr>
          <w:rFonts w:hint="eastAsia"/>
          <w:color w:val="000000" w:themeColor="text1"/>
          <w:highlight w:val="none"/>
          <w14:textFill>
            <w14:solidFill>
              <w14:schemeClr w14:val="tx1"/>
            </w14:solidFill>
          </w14:textFill>
        </w:rPr>
        <w:t>2025年度的审计报告复印件加盖公章或响应截止时间前半年内</w:t>
      </w:r>
      <w:r>
        <w:rPr>
          <w:rFonts w:hint="eastAsia"/>
          <w:color w:val="000000" w:themeColor="text1"/>
          <w:szCs w:val="24"/>
          <w:highlight w:val="none"/>
          <w14:textFill>
            <w14:solidFill>
              <w14:schemeClr w14:val="tx1"/>
            </w14:solidFill>
          </w14:textFill>
        </w:rPr>
        <w:t>（2026年1月至2026年6月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000000" w:themeColor="text1"/>
          <w:highlight w:val="none"/>
          <w14:textFill>
            <w14:solidFill>
              <w14:schemeClr w14:val="tx1"/>
            </w14:solidFill>
          </w14:textFill>
        </w:rPr>
        <w:t>个月</w:t>
      </w:r>
      <w:r>
        <w:rPr>
          <w:color w:val="000000" w:themeColor="text1"/>
          <w:highlight w:val="none"/>
          <w14:textFill>
            <w14:solidFill>
              <w14:schemeClr w14:val="tx1"/>
            </w14:solidFill>
          </w14:textFill>
        </w:rPr>
        <w:t>的无须提供）；</w:t>
      </w:r>
    </w:p>
    <w:p w14:paraId="3022E9FE">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具有履行合同所必需的设备和专业技术能力（根据项目需求提供履行合同所必需的设备和专业技术能力的声明函或证明材料）（格式见后附件）；</w:t>
      </w:r>
    </w:p>
    <w:p w14:paraId="467773B0">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有依法缴纳税收和社会保障资金的良好记录（提供响应截止时间前</w:t>
      </w:r>
      <w:r>
        <w:rPr>
          <w:rFonts w:hint="eastAsia"/>
          <w:color w:val="000000" w:themeColor="text1"/>
          <w:highlight w:val="none"/>
          <w14:textFill>
            <w14:solidFill>
              <w14:schemeClr w14:val="tx1"/>
            </w14:solidFill>
          </w14:textFill>
        </w:rPr>
        <w:t>半年</w:t>
      </w:r>
      <w:r>
        <w:rPr>
          <w:color w:val="000000" w:themeColor="text1"/>
          <w:highlight w:val="none"/>
          <w14:textFill>
            <w14:solidFill>
              <w14:schemeClr w14:val="tx1"/>
            </w14:solidFill>
          </w14:textFill>
        </w:rPr>
        <w:t>内</w:t>
      </w:r>
      <w:r>
        <w:rPr>
          <w:rFonts w:hint="eastAsia"/>
          <w:color w:val="000000" w:themeColor="text1"/>
          <w:szCs w:val="24"/>
          <w:highlight w:val="none"/>
          <w14:textFill>
            <w14:solidFill>
              <w14:schemeClr w14:val="tx1"/>
            </w14:solidFill>
          </w14:textFill>
        </w:rPr>
        <w:t>（2026年1月至2026年6月</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6F9E0C8A">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参加采购活动前三年内，在经营活动中没有重大违法记录（提供参加本次采购活动前三年内在经营活动中没有重大违法记录的书面声明）（格式见后附件）；</w:t>
      </w:r>
    </w:p>
    <w:p w14:paraId="1D53EFAA">
      <w:pPr>
        <w:pStyle w:val="17"/>
        <w:numPr>
          <w:ilvl w:val="0"/>
          <w:numId w:val="61"/>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法律、行政法规规定的其他条件：无。</w:t>
      </w:r>
    </w:p>
    <w:p w14:paraId="381E0508">
      <w:pPr>
        <w:pStyle w:val="17"/>
        <w:numPr>
          <w:ilvl w:val="0"/>
          <w:numId w:val="60"/>
        </w:numPr>
        <w:spacing w:line="360" w:lineRule="auto"/>
        <w:ind w:firstLine="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本项目的特定资格要求：</w:t>
      </w:r>
    </w:p>
    <w:p w14:paraId="72B3C730">
      <w:pPr>
        <w:pStyle w:val="17"/>
        <w:numPr>
          <w:ilvl w:val="255"/>
          <w:numId w:val="0"/>
        </w:numPr>
        <w:spacing w:line="360" w:lineRule="auto"/>
        <w:ind w:firstLine="720" w:firstLineChars="300"/>
        <w:rPr>
          <w:color w:val="000000" w:themeColor="text1"/>
          <w:highlight w:val="none"/>
          <w14:textFill>
            <w14:solidFill>
              <w14:schemeClr w14:val="tx1"/>
            </w14:solidFill>
          </w14:textFill>
        </w:rPr>
      </w:pPr>
      <w:r>
        <w:rPr>
          <w:rFonts w:hint="eastAsia" w:ascii="宋体" w:hAnsi="宋体" w:cs="宋体"/>
          <w:highlight w:val="none"/>
        </w:rPr>
        <w:t>本项目接受进口产品，所投设备若是进口产品，须提供制造商授权证明 （提供针对本项目的专项授权书或有效的产品代理证书复印件加盖供应商公章）。</w:t>
      </w:r>
    </w:p>
    <w:p w14:paraId="75ED80FC">
      <w:pPr>
        <w:pStyle w:val="17"/>
        <w:numPr>
          <w:ilvl w:val="0"/>
          <w:numId w:val="60"/>
        </w:numPr>
        <w:spacing w:line="360" w:lineRule="auto"/>
        <w:ind w:firstLine="0" w:firstLineChars="0"/>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t>拒绝下述供应商参加本次响应：</w:t>
      </w:r>
    </w:p>
    <w:p w14:paraId="337A29D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①</w:t>
      </w:r>
      <w:r>
        <w:rPr>
          <w:color w:val="000000" w:themeColor="text1"/>
          <w:highlight w:val="none"/>
          <w14:textFill>
            <w14:solidFill>
              <w14:schemeClr w14:val="tx1"/>
            </w14:solidFill>
          </w14:textFill>
        </w:rPr>
        <w:t>供应商单位负责人为同一人或者存在直接控股、管理关系的不同供应商，不得参加同一合同项下的采购或采购活动；</w:t>
      </w:r>
    </w:p>
    <w:p w14:paraId="70A35B3E">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②</w:t>
      </w:r>
      <w:r>
        <w:rPr>
          <w:color w:val="000000" w:themeColor="text1"/>
          <w:highlight w:val="none"/>
          <w14:textFill>
            <w14:solidFill>
              <w14:schemeClr w14:val="tx1"/>
            </w14:solidFill>
          </w14:textFill>
        </w:rPr>
        <w:t>凡为本项目提供整体设计、规范编制或者项目管理、检测等服务的供应商，不得再参加本项目的采购或采购活动；</w:t>
      </w:r>
    </w:p>
    <w:p w14:paraId="45F04053">
      <w:pPr>
        <w:pStyle w:val="17"/>
        <w:spacing w:line="360" w:lineRule="auto"/>
        <w:ind w:firstLine="480"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③</w:t>
      </w:r>
      <w:r>
        <w:rPr>
          <w:color w:val="000000" w:themeColor="text1"/>
          <w:highlight w:val="none"/>
          <w14:textFill>
            <w14:solidFill>
              <w14:schemeClr w14:val="tx1"/>
            </w14:solidFill>
          </w14:textFill>
        </w:rPr>
        <w:t>供应商被</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信用中国”网站（www.creditchina.gov.cn）列入失信被执行人、重大税收违法失信主体、</w:t>
      </w:r>
      <w:r>
        <w:rPr>
          <w:rFonts w:hint="eastAsia"/>
          <w:color w:val="000000" w:themeColor="text1"/>
          <w:highlight w:val="none"/>
          <w:lang w:eastAsia="zh-CN"/>
          <w14:textFill>
            <w14:solidFill>
              <w14:schemeClr w14:val="tx1"/>
            </w14:solidFill>
          </w14:textFill>
        </w:rPr>
        <w:t>政府采购严重违法失信行为记录名单</w:t>
      </w:r>
      <w:r>
        <w:rPr>
          <w:color w:val="000000" w:themeColor="text1"/>
          <w:highlight w:val="none"/>
          <w14:textFill>
            <w14:solidFill>
              <w14:schemeClr w14:val="tx1"/>
            </w14:solidFill>
          </w14:textFill>
        </w:rPr>
        <w:t>。</w:t>
      </w:r>
    </w:p>
    <w:p w14:paraId="2CE09216">
      <w:pPr>
        <w:spacing w:line="360" w:lineRule="auto"/>
        <w:rPr>
          <w:rFonts w:hint="eastAsia" w:ascii="宋体" w:hAnsi="宋体" w:cs="宋体"/>
          <w:b/>
          <w:color w:val="000000" w:themeColor="text1"/>
          <w:szCs w:val="21"/>
          <w:highlight w:val="none"/>
          <w14:textFill>
            <w14:solidFill>
              <w14:schemeClr w14:val="tx1"/>
            </w14:solidFill>
          </w14:textFill>
        </w:rPr>
      </w:pPr>
    </w:p>
    <w:p w14:paraId="3E5118FA">
      <w:pPr>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r>
    </w:p>
    <w:p w14:paraId="4838177F">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五</w:t>
      </w:r>
      <w:r>
        <w:rPr>
          <w:b/>
          <w:color w:val="000000" w:themeColor="text1"/>
          <w:highlight w:val="none"/>
          <w14:textFill>
            <w14:solidFill>
              <w14:schemeClr w14:val="tx1"/>
            </w14:solidFill>
          </w14:textFill>
        </w:rPr>
        <w:t>、技术条款偏离表</w:t>
      </w:r>
    </w:p>
    <w:p w14:paraId="2AEA3376">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技术条款偏离表</w:t>
      </w:r>
    </w:p>
    <w:tbl>
      <w:tblPr>
        <w:tblStyle w:val="45"/>
        <w:tblW w:w="4996" w:type="pct"/>
        <w:jc w:val="center"/>
        <w:tblLayout w:type="autofit"/>
        <w:tblCellMar>
          <w:top w:w="0" w:type="dxa"/>
          <w:left w:w="0" w:type="dxa"/>
          <w:bottom w:w="0" w:type="dxa"/>
          <w:right w:w="0" w:type="dxa"/>
        </w:tblCellMar>
      </w:tblPr>
      <w:tblGrid>
        <w:gridCol w:w="520"/>
        <w:gridCol w:w="1439"/>
        <w:gridCol w:w="2025"/>
        <w:gridCol w:w="1068"/>
        <w:gridCol w:w="1363"/>
        <w:gridCol w:w="1510"/>
        <w:gridCol w:w="1535"/>
      </w:tblGrid>
      <w:tr w14:paraId="2A9394AE">
        <w:tblPrEx>
          <w:tblCellMar>
            <w:top w:w="0" w:type="dxa"/>
            <w:left w:w="0" w:type="dxa"/>
            <w:bottom w:w="0" w:type="dxa"/>
            <w:right w:w="0" w:type="dxa"/>
          </w:tblCellMar>
        </w:tblPrEx>
        <w:trPr>
          <w:trHeight w:val="510" w:hRule="atLeast"/>
          <w:jc w:val="center"/>
        </w:trPr>
        <w:tc>
          <w:tcPr>
            <w:tcW w:w="2669" w:type="pct"/>
            <w:gridSpan w:val="4"/>
            <w:tcBorders>
              <w:top w:val="nil"/>
              <w:left w:val="nil"/>
              <w:bottom w:val="single" w:color="auto" w:sz="6" w:space="0"/>
              <w:right w:val="nil"/>
            </w:tcBorders>
            <w:vAlign w:val="center"/>
          </w:tcPr>
          <w:p w14:paraId="75C504EA">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518" w:type="pct"/>
            <w:gridSpan w:val="2"/>
            <w:tcBorders>
              <w:top w:val="nil"/>
              <w:left w:val="nil"/>
              <w:bottom w:val="single" w:color="auto" w:sz="6" w:space="0"/>
              <w:right w:val="nil"/>
            </w:tcBorders>
            <w:vAlign w:val="center"/>
          </w:tcPr>
          <w:p w14:paraId="225A770D">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c>
          <w:tcPr>
            <w:tcW w:w="811" w:type="pct"/>
            <w:tcBorders>
              <w:top w:val="nil"/>
              <w:left w:val="nil"/>
              <w:bottom w:val="single" w:color="auto" w:sz="6" w:space="0"/>
              <w:right w:val="nil"/>
            </w:tcBorders>
            <w:vAlign w:val="center"/>
          </w:tcPr>
          <w:p w14:paraId="0395F2E3">
            <w:pPr>
              <w:adjustRightInd w:val="0"/>
              <w:jc w:val="left"/>
              <w:rPr>
                <w:rFonts w:hint="eastAsia" w:ascii="宋体" w:hAnsi="宋体" w:cs="宋体"/>
                <w:color w:val="000000" w:themeColor="text1"/>
                <w:szCs w:val="21"/>
                <w:highlight w:val="none"/>
                <w:lang w:val="zh-CN"/>
                <w14:textFill>
                  <w14:solidFill>
                    <w14:schemeClr w14:val="tx1"/>
                  </w14:solidFill>
                </w14:textFill>
              </w:rPr>
            </w:pPr>
          </w:p>
        </w:tc>
      </w:tr>
      <w:tr w14:paraId="6F3C3091">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7ABBA31C">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760" w:type="pct"/>
            <w:tcBorders>
              <w:top w:val="single" w:color="auto" w:sz="6" w:space="0"/>
              <w:left w:val="single" w:color="auto" w:sz="6" w:space="0"/>
              <w:bottom w:val="single" w:color="auto" w:sz="6" w:space="0"/>
              <w:right w:val="single" w:color="auto" w:sz="6" w:space="0"/>
            </w:tcBorders>
            <w:vAlign w:val="center"/>
          </w:tcPr>
          <w:p w14:paraId="0B6D6974">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070" w:type="pct"/>
            <w:tcBorders>
              <w:top w:val="single" w:color="auto" w:sz="6" w:space="0"/>
              <w:left w:val="single" w:color="auto" w:sz="6" w:space="0"/>
              <w:bottom w:val="single" w:color="auto" w:sz="6" w:space="0"/>
              <w:right w:val="single" w:color="auto" w:sz="6" w:space="0"/>
            </w:tcBorders>
            <w:vAlign w:val="center"/>
          </w:tcPr>
          <w:p w14:paraId="7F73396A">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文件要求的技术</w:t>
            </w:r>
            <w:r>
              <w:rPr>
                <w:rFonts w:hint="eastAsia" w:ascii="宋体" w:hAnsi="宋体" w:cs="宋体"/>
                <w:b/>
                <w:color w:val="000000" w:themeColor="text1"/>
                <w:szCs w:val="21"/>
                <w:highlight w:val="none"/>
                <w14:textFill>
                  <w14:solidFill>
                    <w14:schemeClr w14:val="tx1"/>
                  </w14:solidFill>
                </w14:textFill>
              </w:rPr>
              <w:t>条款</w:t>
            </w: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26E9325">
            <w:pPr>
              <w:adjustRightInd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97" w:type="pct"/>
            <w:tcBorders>
              <w:top w:val="single" w:color="auto" w:sz="6" w:space="0"/>
              <w:left w:val="single" w:color="auto" w:sz="6" w:space="0"/>
              <w:bottom w:val="single" w:color="auto" w:sz="6" w:space="0"/>
              <w:right w:val="single" w:color="auto" w:sz="6" w:space="0"/>
            </w:tcBorders>
            <w:vAlign w:val="center"/>
          </w:tcPr>
          <w:p w14:paraId="670F9AD3">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c>
          <w:tcPr>
            <w:tcW w:w="811" w:type="pct"/>
            <w:tcBorders>
              <w:top w:val="single" w:color="auto" w:sz="6" w:space="0"/>
              <w:left w:val="single" w:color="auto" w:sz="6" w:space="0"/>
              <w:bottom w:val="single" w:color="auto" w:sz="6" w:space="0"/>
              <w:right w:val="single" w:color="auto" w:sz="6" w:space="0"/>
            </w:tcBorders>
            <w:vAlign w:val="center"/>
          </w:tcPr>
          <w:p w14:paraId="5CB38D2F">
            <w:pPr>
              <w:adjustRightInd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对应页码</w:t>
            </w:r>
          </w:p>
        </w:tc>
      </w:tr>
      <w:tr w14:paraId="476023BB">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73202B7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430CA7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4ED3839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36CA56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1A114C7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24AE222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08C8C9F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4E478B4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29B82F6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9FED31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5FF3EE7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2C0F58E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3D1F59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7CA192F8">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19F84C6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65984FE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1F3D4E9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DFDE21C">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5FD8166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7FE12DA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41808C64">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5D90278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7E4A6F5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089E470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3B16C88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7416E03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2CA498A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5D36FF3C">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7B96B6BC">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5FED456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2C8C6B0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21F34AA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0D84CC3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3A9ABC4F">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6495CBF5">
        <w:tblPrEx>
          <w:tblCellMar>
            <w:top w:w="0" w:type="dxa"/>
            <w:left w:w="0" w:type="dxa"/>
            <w:bottom w:w="0" w:type="dxa"/>
            <w:right w:w="0" w:type="dxa"/>
          </w:tblCellMar>
        </w:tblPrEx>
        <w:trPr>
          <w:trHeight w:val="510" w:hRule="atLeast"/>
          <w:jc w:val="center"/>
        </w:trPr>
        <w:tc>
          <w:tcPr>
            <w:tcW w:w="275" w:type="pct"/>
            <w:tcBorders>
              <w:top w:val="single" w:color="auto" w:sz="6" w:space="0"/>
              <w:left w:val="single" w:color="auto" w:sz="6" w:space="0"/>
              <w:bottom w:val="single" w:color="auto" w:sz="6" w:space="0"/>
              <w:right w:val="single" w:color="auto" w:sz="6" w:space="0"/>
            </w:tcBorders>
            <w:vAlign w:val="center"/>
          </w:tcPr>
          <w:p w14:paraId="21EA872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60" w:type="pct"/>
            <w:tcBorders>
              <w:top w:val="single" w:color="auto" w:sz="6" w:space="0"/>
              <w:left w:val="single" w:color="auto" w:sz="6" w:space="0"/>
              <w:bottom w:val="single" w:color="auto" w:sz="6" w:space="0"/>
              <w:right w:val="single" w:color="auto" w:sz="6" w:space="0"/>
            </w:tcBorders>
            <w:vAlign w:val="center"/>
          </w:tcPr>
          <w:p w14:paraId="3D4F9B4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070" w:type="pct"/>
            <w:tcBorders>
              <w:top w:val="single" w:color="auto" w:sz="6" w:space="0"/>
              <w:left w:val="single" w:color="auto" w:sz="6" w:space="0"/>
              <w:bottom w:val="single" w:color="auto" w:sz="6" w:space="0"/>
              <w:right w:val="single" w:color="auto" w:sz="6" w:space="0"/>
            </w:tcBorders>
            <w:vAlign w:val="center"/>
          </w:tcPr>
          <w:p w14:paraId="3205419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284" w:type="pct"/>
            <w:gridSpan w:val="2"/>
            <w:tcBorders>
              <w:top w:val="single" w:color="auto" w:sz="6" w:space="0"/>
              <w:left w:val="single" w:color="auto" w:sz="6" w:space="0"/>
              <w:bottom w:val="single" w:color="auto" w:sz="6" w:space="0"/>
              <w:right w:val="single" w:color="auto" w:sz="6" w:space="0"/>
            </w:tcBorders>
            <w:vAlign w:val="center"/>
          </w:tcPr>
          <w:p w14:paraId="0EB24AA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97" w:type="pct"/>
            <w:tcBorders>
              <w:top w:val="single" w:color="auto" w:sz="6" w:space="0"/>
              <w:left w:val="single" w:color="auto" w:sz="6" w:space="0"/>
              <w:bottom w:val="single" w:color="auto" w:sz="6" w:space="0"/>
              <w:right w:val="single" w:color="auto" w:sz="6" w:space="0"/>
            </w:tcBorders>
            <w:vAlign w:val="center"/>
          </w:tcPr>
          <w:p w14:paraId="68E6816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811" w:type="pct"/>
            <w:tcBorders>
              <w:top w:val="single" w:color="auto" w:sz="6" w:space="0"/>
              <w:left w:val="single" w:color="auto" w:sz="6" w:space="0"/>
              <w:bottom w:val="single" w:color="auto" w:sz="6" w:space="0"/>
              <w:right w:val="single" w:color="auto" w:sz="6" w:space="0"/>
            </w:tcBorders>
            <w:vAlign w:val="center"/>
          </w:tcPr>
          <w:p w14:paraId="6DFED748">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bl>
    <w:p w14:paraId="61BE57EF">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5E40552C">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651061A8">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407F60B8">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71AE41E4">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rFonts w:asciiTheme="majorEastAsia" w:hAnsiTheme="majorEastAsia" w:eastAsiaTheme="majorEastAsia"/>
          <w:b/>
          <w:highlight w:val="none"/>
        </w:rPr>
        <w:t>按照</w:t>
      </w:r>
      <w:r>
        <w:rPr>
          <w:rFonts w:hint="eastAsia" w:asciiTheme="majorEastAsia" w:hAnsiTheme="majorEastAsia" w:eastAsiaTheme="majorEastAsia"/>
          <w:b/>
          <w:highlight w:val="none"/>
        </w:rPr>
        <w:t>“第四章 项目需求”中的“主要技术参数要求”</w:t>
      </w:r>
      <w:r>
        <w:rPr>
          <w:rFonts w:asciiTheme="majorEastAsia" w:hAnsiTheme="majorEastAsia" w:eastAsiaTheme="majorEastAsia"/>
          <w:b/>
          <w:highlight w:val="none"/>
        </w:rPr>
        <w:t>详细填列</w:t>
      </w:r>
      <w:r>
        <w:rPr>
          <w:rFonts w:hint="eastAsia" w:asciiTheme="majorEastAsia" w:hAnsiTheme="majorEastAsia" w:eastAsiaTheme="majorEastAsia"/>
          <w:b/>
          <w:highlight w:val="none"/>
        </w:rPr>
        <w:t>，</w:t>
      </w:r>
      <w:r>
        <w:rPr>
          <w:color w:val="000000" w:themeColor="text1"/>
          <w:highlight w:val="none"/>
          <w14:textFill>
            <w14:solidFill>
              <w14:schemeClr w14:val="tx1"/>
            </w14:solidFill>
          </w14:textFill>
        </w:rPr>
        <w:t>如果行数不够，请自行增加；</w:t>
      </w:r>
    </w:p>
    <w:p w14:paraId="4522B9DE">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041652B">
      <w:pPr>
        <w:pStyle w:val="17"/>
        <w:widowControl/>
        <w:numPr>
          <w:ilvl w:val="0"/>
          <w:numId w:val="62"/>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响应</w:t>
      </w:r>
      <w:r>
        <w:rPr>
          <w:rFonts w:hint="eastAsia"/>
          <w:color w:val="000000" w:themeColor="text1"/>
          <w:highlight w:val="none"/>
          <w14:textFill>
            <w14:solidFill>
              <w14:schemeClr w14:val="tx1"/>
            </w14:solidFill>
          </w14:textFill>
        </w:rPr>
        <w:t>情况</w:t>
      </w:r>
      <w:r>
        <w:rPr>
          <w:color w:val="000000" w:themeColor="text1"/>
          <w:highlight w:val="none"/>
          <w14:textFill>
            <w14:solidFill>
              <w14:schemeClr w14:val="tx1"/>
            </w14:solidFill>
          </w14:textFill>
        </w:rPr>
        <w:t>作为响应文件重要的组成部分，不应通过简单拷贝或简单标注</w:t>
      </w:r>
      <w:r>
        <w:rPr>
          <w:rFonts w:hint="eastAsia"/>
          <w:color w:val="000000" w:themeColor="text1"/>
          <w:highlight w:val="none"/>
          <w14:textFill>
            <w14:solidFill>
              <w14:schemeClr w14:val="tx1"/>
            </w14:solidFill>
          </w14:textFill>
        </w:rPr>
        <w:t>”</w:t>
      </w:r>
      <w:r>
        <w:rPr>
          <w:color w:val="000000" w:themeColor="text1"/>
          <w:highlight w:val="none"/>
          <w14:textFill>
            <w14:solidFill>
              <w14:schemeClr w14:val="tx1"/>
            </w14:solidFill>
          </w14:textFill>
        </w:rPr>
        <w:t>符合”“满足”。</w:t>
      </w:r>
    </w:p>
    <w:p w14:paraId="47D31590">
      <w:pPr>
        <w:spacing w:line="360" w:lineRule="auto"/>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br w:type="page"/>
      </w:r>
    </w:p>
    <w:p w14:paraId="07EF0138">
      <w:pPr>
        <w:pStyle w:val="17"/>
        <w:spacing w:line="360" w:lineRule="auto"/>
        <w:ind w:firstLine="482"/>
        <w:outlineLvl w:val="1"/>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六</w:t>
      </w:r>
      <w:r>
        <w:rPr>
          <w:b/>
          <w:color w:val="000000" w:themeColor="text1"/>
          <w:highlight w:val="none"/>
          <w14:textFill>
            <w14:solidFill>
              <w14:schemeClr w14:val="tx1"/>
            </w14:solidFill>
          </w14:textFill>
        </w:rPr>
        <w:t>、商务条款偏离表</w:t>
      </w:r>
    </w:p>
    <w:p w14:paraId="770E74E4">
      <w:pPr>
        <w:pStyle w:val="267"/>
        <w:spacing w:line="360" w:lineRule="auto"/>
        <w:outlineLvl w:val="9"/>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191EC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00A74DD6">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项目名称：</w:t>
            </w:r>
          </w:p>
        </w:tc>
        <w:tc>
          <w:tcPr>
            <w:tcW w:w="1462" w:type="pct"/>
            <w:gridSpan w:val="2"/>
            <w:tcBorders>
              <w:top w:val="nil"/>
              <w:left w:val="nil"/>
              <w:right w:val="nil"/>
            </w:tcBorders>
            <w:vAlign w:val="center"/>
          </w:tcPr>
          <w:p w14:paraId="2D61B9B9">
            <w:pPr>
              <w:adjustRightInd w:val="0"/>
              <w:jc w:val="left"/>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项目编号：</w:t>
            </w:r>
          </w:p>
        </w:tc>
      </w:tr>
      <w:tr w14:paraId="60A67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4C4978E7">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序号</w:t>
            </w:r>
          </w:p>
        </w:tc>
        <w:tc>
          <w:tcPr>
            <w:tcW w:w="974" w:type="pct"/>
            <w:vAlign w:val="center"/>
          </w:tcPr>
          <w:p w14:paraId="39B022AD">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文件条目号</w:t>
            </w:r>
          </w:p>
        </w:tc>
        <w:tc>
          <w:tcPr>
            <w:tcW w:w="1515" w:type="pct"/>
            <w:vAlign w:val="center"/>
          </w:tcPr>
          <w:p w14:paraId="352F2675">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采购</w:t>
            </w:r>
            <w:r>
              <w:rPr>
                <w:rFonts w:hint="eastAsia" w:ascii="宋体" w:hAnsi="宋体" w:cs="宋体"/>
                <w:b/>
                <w:color w:val="000000" w:themeColor="text1"/>
                <w:szCs w:val="21"/>
                <w:highlight w:val="none"/>
                <w:lang w:val="zh-CN"/>
                <w14:textFill>
                  <w14:solidFill>
                    <w14:schemeClr w14:val="tx1"/>
                  </w14:solidFill>
                </w14:textFill>
              </w:rPr>
              <w:t>文件要求的商务条款</w:t>
            </w:r>
          </w:p>
        </w:tc>
        <w:tc>
          <w:tcPr>
            <w:tcW w:w="1364" w:type="pct"/>
            <w:gridSpan w:val="2"/>
            <w:vAlign w:val="center"/>
          </w:tcPr>
          <w:p w14:paraId="6CE327A6">
            <w:pPr>
              <w:adjustRightInd w:val="0"/>
              <w:jc w:val="center"/>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响应</w:t>
            </w:r>
            <w:r>
              <w:rPr>
                <w:rFonts w:hint="eastAsia" w:ascii="宋体" w:hAnsi="宋体" w:cs="宋体"/>
                <w:b/>
                <w:color w:val="000000" w:themeColor="text1"/>
                <w:szCs w:val="21"/>
                <w:highlight w:val="none"/>
                <w14:textFill>
                  <w14:solidFill>
                    <w14:schemeClr w14:val="tx1"/>
                  </w14:solidFill>
                </w14:textFill>
              </w:rPr>
              <w:t>情况</w:t>
            </w:r>
          </w:p>
        </w:tc>
        <w:tc>
          <w:tcPr>
            <w:tcW w:w="709" w:type="pct"/>
            <w:vAlign w:val="center"/>
          </w:tcPr>
          <w:p w14:paraId="617500A4">
            <w:pPr>
              <w:adjustRightInd w:val="0"/>
              <w:jc w:val="center"/>
              <w:rPr>
                <w:rFonts w:hint="eastAsia" w:ascii="宋体" w:hAnsi="宋体" w:cs="宋体"/>
                <w:b/>
                <w:color w:val="000000" w:themeColor="text1"/>
                <w:szCs w:val="21"/>
                <w:highlight w:val="none"/>
                <w:lang w:val="zh-CN"/>
                <w14:textFill>
                  <w14:solidFill>
                    <w14:schemeClr w14:val="tx1"/>
                  </w14:solidFill>
                </w14:textFill>
              </w:rPr>
            </w:pPr>
            <w:r>
              <w:rPr>
                <w:rFonts w:hint="eastAsia" w:ascii="宋体" w:hAnsi="宋体" w:cs="宋体"/>
                <w:b/>
                <w:color w:val="000000" w:themeColor="text1"/>
                <w:szCs w:val="21"/>
                <w:highlight w:val="none"/>
                <w:lang w:val="zh-CN"/>
                <w14:textFill>
                  <w14:solidFill>
                    <w14:schemeClr w14:val="tx1"/>
                  </w14:solidFill>
                </w14:textFill>
              </w:rPr>
              <w:t>偏离</w:t>
            </w:r>
          </w:p>
        </w:tc>
      </w:tr>
      <w:tr w14:paraId="7FAC1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E5B558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40ED6B8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6F42A5CE">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6ADFBD8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2476E14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69109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8B3999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D17CAC2">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4CA685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2410BE6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31641F4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52499E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3C3D6346">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1A165145">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6538799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29C7DA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088E331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2B5F1C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6D5D8B2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38AFC32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9DEE91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079FFD9B">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FD0E14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0A6C6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AD87E6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5E7551E9">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55D44F74">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CF8FFFD">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07816781">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7B783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B4A1C87">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974" w:type="pct"/>
            <w:vAlign w:val="center"/>
          </w:tcPr>
          <w:p w14:paraId="65355F6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515" w:type="pct"/>
            <w:vAlign w:val="center"/>
          </w:tcPr>
          <w:p w14:paraId="4B98DB4A">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1364" w:type="pct"/>
            <w:gridSpan w:val="2"/>
            <w:vAlign w:val="center"/>
          </w:tcPr>
          <w:p w14:paraId="42217190">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c>
          <w:tcPr>
            <w:tcW w:w="709" w:type="pct"/>
            <w:vAlign w:val="center"/>
          </w:tcPr>
          <w:p w14:paraId="180E6653">
            <w:pPr>
              <w:adjustRightInd w:val="0"/>
              <w:jc w:val="center"/>
              <w:rPr>
                <w:rFonts w:hint="eastAsia" w:ascii="宋体" w:hAnsi="宋体" w:cs="宋体"/>
                <w:color w:val="000000" w:themeColor="text1"/>
                <w:szCs w:val="21"/>
                <w:highlight w:val="none"/>
                <w:lang w:val="zh-CN"/>
                <w14:textFill>
                  <w14:solidFill>
                    <w14:schemeClr w14:val="tx1"/>
                  </w14:solidFill>
                </w14:textFill>
              </w:rPr>
            </w:pPr>
          </w:p>
        </w:tc>
      </w:tr>
      <w:tr w14:paraId="213C5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436" w:type="pct"/>
            <w:vAlign w:val="center"/>
          </w:tcPr>
          <w:p w14:paraId="4EC10BE4">
            <w:pPr>
              <w:jc w:val="center"/>
              <w:rPr>
                <w:rFonts w:hint="eastAsia" w:ascii="宋体" w:hAnsi="宋体" w:cs="Arial"/>
                <w:color w:val="000000" w:themeColor="text1"/>
                <w:szCs w:val="21"/>
                <w:highlight w:val="none"/>
                <w14:textFill>
                  <w14:solidFill>
                    <w14:schemeClr w14:val="tx1"/>
                  </w14:solidFill>
                </w14:textFill>
              </w:rPr>
            </w:pPr>
          </w:p>
        </w:tc>
        <w:tc>
          <w:tcPr>
            <w:tcW w:w="974" w:type="pct"/>
            <w:vAlign w:val="center"/>
          </w:tcPr>
          <w:p w14:paraId="5EF20311">
            <w:pPr>
              <w:jc w:val="center"/>
              <w:rPr>
                <w:rFonts w:hint="eastAsia" w:ascii="宋体" w:hAnsi="宋体" w:cs="Arial"/>
                <w:color w:val="000000" w:themeColor="text1"/>
                <w:szCs w:val="21"/>
                <w:highlight w:val="none"/>
                <w14:textFill>
                  <w14:solidFill>
                    <w14:schemeClr w14:val="tx1"/>
                  </w14:solidFill>
                </w14:textFill>
              </w:rPr>
            </w:pPr>
          </w:p>
        </w:tc>
        <w:tc>
          <w:tcPr>
            <w:tcW w:w="1515" w:type="pct"/>
            <w:vAlign w:val="center"/>
          </w:tcPr>
          <w:p w14:paraId="056C89D5">
            <w:pPr>
              <w:jc w:val="center"/>
              <w:rPr>
                <w:rFonts w:hint="eastAsia" w:ascii="宋体" w:hAnsi="宋体" w:cs="Arial"/>
                <w:color w:val="000000" w:themeColor="text1"/>
                <w:szCs w:val="21"/>
                <w:highlight w:val="none"/>
                <w14:textFill>
                  <w14:solidFill>
                    <w14:schemeClr w14:val="tx1"/>
                  </w14:solidFill>
                </w14:textFill>
              </w:rPr>
            </w:pPr>
          </w:p>
        </w:tc>
        <w:tc>
          <w:tcPr>
            <w:tcW w:w="1364" w:type="pct"/>
            <w:gridSpan w:val="2"/>
            <w:vAlign w:val="center"/>
          </w:tcPr>
          <w:p w14:paraId="2FF05E03">
            <w:pPr>
              <w:jc w:val="center"/>
              <w:rPr>
                <w:rFonts w:hint="eastAsia" w:ascii="宋体" w:hAnsi="宋体" w:cs="Arial"/>
                <w:color w:val="000000" w:themeColor="text1"/>
                <w:szCs w:val="21"/>
                <w:highlight w:val="none"/>
                <w14:textFill>
                  <w14:solidFill>
                    <w14:schemeClr w14:val="tx1"/>
                  </w14:solidFill>
                </w14:textFill>
              </w:rPr>
            </w:pPr>
          </w:p>
        </w:tc>
        <w:tc>
          <w:tcPr>
            <w:tcW w:w="709" w:type="pct"/>
            <w:vAlign w:val="center"/>
          </w:tcPr>
          <w:p w14:paraId="33536452">
            <w:pPr>
              <w:jc w:val="center"/>
              <w:rPr>
                <w:rFonts w:hint="eastAsia" w:ascii="宋体" w:hAnsi="宋体" w:cs="Arial"/>
                <w:color w:val="000000" w:themeColor="text1"/>
                <w:szCs w:val="21"/>
                <w:highlight w:val="none"/>
                <w14:textFill>
                  <w14:solidFill>
                    <w14:schemeClr w14:val="tx1"/>
                  </w14:solidFill>
                </w14:textFill>
              </w:rPr>
            </w:pPr>
          </w:p>
        </w:tc>
      </w:tr>
    </w:tbl>
    <w:p w14:paraId="2422D710">
      <w:pPr>
        <w:adjustRightInd w:val="0"/>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67A152B5">
      <w:pPr>
        <w:adjustRightInd w:val="0"/>
        <w:spacing w:line="360" w:lineRule="auto"/>
        <w:jc w:val="left"/>
        <w:rPr>
          <w:rFonts w:ascii="Times New Roman" w:hAnsi="Times New Roman"/>
          <w:color w:val="000000" w:themeColor="text1"/>
          <w:sz w:val="24"/>
          <w:szCs w:val="21"/>
          <w:highlight w:val="none"/>
          <w:lang w:val="zh-CN"/>
          <w14:textFill>
            <w14:solidFill>
              <w14:schemeClr w14:val="tx1"/>
            </w14:solidFill>
          </w14:textFill>
        </w:rPr>
      </w:pPr>
      <w:r>
        <w:rPr>
          <w:rFonts w:hint="eastAsia" w:ascii="Times New Roman" w:hAnsi="Times New Roman"/>
          <w:color w:val="000000" w:themeColor="text1"/>
          <w:sz w:val="24"/>
          <w:szCs w:val="21"/>
          <w:highlight w:val="none"/>
          <w:lang w:val="zh-CN"/>
          <w14:textFill>
            <w14:solidFill>
              <w14:schemeClr w14:val="tx1"/>
            </w14:solidFill>
          </w14:textFill>
        </w:rPr>
        <w:t>供应商名称：（盖章）</w:t>
      </w:r>
    </w:p>
    <w:p w14:paraId="32EED80D">
      <w:pPr>
        <w:widowControl/>
        <w:spacing w:line="360" w:lineRule="auto"/>
        <w:jc w:val="left"/>
        <w:rPr>
          <w:rFonts w:hint="eastAsia" w:ascii="宋体" w:hAnsi="宋体" w:cs="宋体"/>
          <w:color w:val="000000" w:themeColor="text1"/>
          <w:szCs w:val="21"/>
          <w:highlight w:val="none"/>
          <w:lang w:val="zh-CN"/>
          <w14:textFill>
            <w14:solidFill>
              <w14:schemeClr w14:val="tx1"/>
            </w14:solidFill>
          </w14:textFill>
        </w:rPr>
      </w:pPr>
    </w:p>
    <w:p w14:paraId="30928D76">
      <w:pPr>
        <w:pStyle w:val="17"/>
        <w:widowControl/>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w:t>
      </w:r>
    </w:p>
    <w:p w14:paraId="6B76E6FB">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如果行数不够，请自行增加；</w:t>
      </w:r>
    </w:p>
    <w:p w14:paraId="5CF8B707">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无偏离指供应商的响应等于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文件要求，正偏离指供应商的响应高于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文件要求，负偏离指供应商的响应低于</w:t>
      </w:r>
      <w:r>
        <w:rPr>
          <w:rFonts w:hint="eastAsia"/>
          <w:color w:val="000000" w:themeColor="text1"/>
          <w:highlight w:val="none"/>
          <w14:textFill>
            <w14:solidFill>
              <w14:schemeClr w14:val="tx1"/>
            </w14:solidFill>
          </w14:textFill>
        </w:rPr>
        <w:t>采购</w:t>
      </w:r>
      <w:r>
        <w:rPr>
          <w:color w:val="000000" w:themeColor="text1"/>
          <w:highlight w:val="none"/>
          <w14:textFill>
            <w14:solidFill>
              <w14:schemeClr w14:val="tx1"/>
            </w14:solidFill>
          </w14:textFill>
        </w:rPr>
        <w:t>文件要求。</w:t>
      </w:r>
    </w:p>
    <w:p w14:paraId="6280DEBF">
      <w:pPr>
        <w:pStyle w:val="17"/>
        <w:widowControl/>
        <w:numPr>
          <w:ilvl w:val="0"/>
          <w:numId w:val="63"/>
        </w:numPr>
        <w:spacing w:line="360" w:lineRule="auto"/>
        <w:ind w:firstLineChars="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供应商必须仔细阅读</w:t>
      </w:r>
      <w:r>
        <w:rPr>
          <w:rFonts w:hint="eastAsia"/>
          <w:color w:val="000000" w:themeColor="text1"/>
          <w:highlight w:val="none"/>
          <w:lang w:val="en-US" w:eastAsia="zh-CN"/>
          <w14:textFill>
            <w14:solidFill>
              <w14:schemeClr w14:val="tx1"/>
            </w14:solidFill>
          </w14:textFill>
        </w:rPr>
        <w:t>采购</w:t>
      </w:r>
      <w:r>
        <w:rPr>
          <w:rFonts w:hint="eastAsia"/>
          <w:color w:val="000000" w:themeColor="text1"/>
          <w:highlight w:val="none"/>
          <w14:textFill>
            <w14:solidFill>
              <w14:schemeClr w14:val="tx1"/>
            </w14:solidFill>
          </w14:textFill>
        </w:rPr>
        <w:t>文件第四章“项目需求”以及第五章“合同主要条款及格式”中所有商务条款和相关服务要求，并对所有商务条款和服务要求的</w:t>
      </w:r>
      <w:r>
        <w:rPr>
          <w:rFonts w:hint="eastAsia"/>
          <w:color w:val="000000" w:themeColor="text1"/>
          <w:highlight w:val="none"/>
          <w:lang w:val="en-US" w:eastAsia="zh-CN"/>
          <w14:textFill>
            <w14:solidFill>
              <w14:schemeClr w14:val="tx1"/>
            </w14:solidFill>
          </w14:textFill>
        </w:rPr>
        <w:t>偏离</w:t>
      </w:r>
      <w:r>
        <w:rPr>
          <w:rFonts w:hint="eastAsia"/>
          <w:color w:val="000000" w:themeColor="text1"/>
          <w:highlight w:val="none"/>
          <w14:textFill>
            <w14:solidFill>
              <w14:schemeClr w14:val="tx1"/>
            </w14:solidFill>
          </w14:textFill>
        </w:rPr>
        <w:t>条目列入上表。</w:t>
      </w:r>
      <w:r>
        <w:rPr>
          <w:rFonts w:hint="eastAsia" w:ascii="Times New Roman" w:hAnsi="Times New Roman" w:eastAsia="宋体" w:cs="Times New Roman"/>
          <w:color w:val="000000" w:themeColor="text1"/>
          <w:highlight w:val="none"/>
          <w14:textFill>
            <w14:solidFill>
              <w14:schemeClr w14:val="tx1"/>
            </w14:solidFill>
          </w14:textFill>
        </w:rPr>
        <w:t>未在本偏离表中列出偏离</w:t>
      </w:r>
      <w:r>
        <w:rPr>
          <w:rFonts w:hint="eastAsia" w:ascii="Times New Roman" w:hAnsi="Times New Roman" w:eastAsia="宋体" w:cs="Times New Roman"/>
          <w:color w:val="000000" w:themeColor="text1"/>
          <w:highlight w:val="none"/>
          <w:lang w:val="en-US" w:eastAsia="zh-CN"/>
          <w14:textFill>
            <w14:solidFill>
              <w14:schemeClr w14:val="tx1"/>
            </w14:solidFill>
          </w14:textFill>
        </w:rPr>
        <w:t>条目</w:t>
      </w:r>
      <w:r>
        <w:rPr>
          <w:rFonts w:hint="eastAsia" w:ascii="Times New Roman" w:hAnsi="Times New Roman" w:eastAsia="宋体" w:cs="Times New Roman"/>
          <w:color w:val="000000" w:themeColor="text1"/>
          <w:highlight w:val="none"/>
          <w14:textFill>
            <w14:solidFill>
              <w14:schemeClr w14:val="tx1"/>
            </w14:solidFill>
          </w14:textFill>
        </w:rPr>
        <w:t>，将视为供应商已完全接受</w:t>
      </w:r>
      <w:r>
        <w:rPr>
          <w:rFonts w:hint="eastAsia" w:ascii="Times New Roman" w:hAnsi="Times New Roman" w:eastAsia="宋体" w:cs="Times New Roman"/>
          <w:color w:val="000000" w:themeColor="text1"/>
          <w:highlight w:val="none"/>
          <w:lang w:val="en-US" w:eastAsia="zh-CN"/>
          <w14:textFill>
            <w14:solidFill>
              <w14:schemeClr w14:val="tx1"/>
            </w14:solidFill>
          </w14:textFill>
        </w:rPr>
        <w:t>采购</w:t>
      </w:r>
      <w:r>
        <w:rPr>
          <w:rFonts w:hint="eastAsia" w:ascii="Times New Roman" w:hAnsi="Times New Roman" w:eastAsia="宋体" w:cs="Times New Roman"/>
          <w:color w:val="000000" w:themeColor="text1"/>
          <w:highlight w:val="none"/>
          <w14:textFill>
            <w14:solidFill>
              <w14:schemeClr w14:val="tx1"/>
            </w14:solidFill>
          </w14:textFill>
        </w:rPr>
        <w:t>文件要求。如完全无偏离，也无其他说明，可在本表第一行填写“全部无偏离”。</w:t>
      </w:r>
    </w:p>
    <w:p w14:paraId="1A68022F">
      <w:pPr>
        <w:spacing w:line="360" w:lineRule="auto"/>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br w:type="page"/>
      </w:r>
    </w:p>
    <w:p w14:paraId="23288C42">
      <w:pPr>
        <w:pStyle w:val="17"/>
        <w:numPr>
          <w:ilvl w:val="255"/>
          <w:numId w:val="0"/>
        </w:numPr>
        <w:spacing w:line="360" w:lineRule="auto"/>
        <w:ind w:left="420"/>
        <w:outlineLvl w:val="1"/>
        <w:rPr>
          <w:b/>
          <w:color w:val="000000" w:themeColor="text1"/>
          <w:highlight w:val="none"/>
          <w14:textFill>
            <w14:solidFill>
              <w14:schemeClr w14:val="tx1"/>
            </w14:solidFill>
          </w14:textFill>
        </w:rPr>
      </w:pPr>
      <w:bookmarkStart w:id="17" w:name="_Toc202786551"/>
      <w:bookmarkStart w:id="18" w:name="_Toc87364929"/>
      <w:r>
        <w:rPr>
          <w:rFonts w:hint="eastAsia"/>
          <w:b/>
          <w:color w:val="000000" w:themeColor="text1"/>
          <w:highlight w:val="none"/>
          <w14:textFill>
            <w14:solidFill>
              <w14:schemeClr w14:val="tx1"/>
            </w14:solidFill>
          </w14:textFill>
        </w:rPr>
        <w:t>七、</w:t>
      </w:r>
      <w:bookmarkEnd w:id="17"/>
      <w:bookmarkEnd w:id="18"/>
      <w:r>
        <w:rPr>
          <w:b/>
          <w:color w:val="000000" w:themeColor="text1"/>
          <w:highlight w:val="none"/>
          <w14:textFill>
            <w14:solidFill>
              <w14:schemeClr w14:val="tx1"/>
            </w14:solidFill>
          </w14:textFill>
        </w:rPr>
        <w:t>评分项审查材料</w:t>
      </w:r>
    </w:p>
    <w:p w14:paraId="659988E1">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7.1项目实施方案</w:t>
      </w:r>
    </w:p>
    <w:p w14:paraId="4E2515D3">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7FC323AE">
      <w:pPr>
        <w:spacing w:line="360" w:lineRule="auto"/>
        <w:jc w:val="left"/>
        <w:rPr>
          <w:rFonts w:hint="eastAsia" w:asciiTheme="majorEastAsia" w:hAnsiTheme="majorEastAsia" w:eastAsiaTheme="majorEastAsia"/>
          <w:b/>
          <w:sz w:val="24"/>
          <w:szCs w:val="24"/>
          <w:highlight w:val="none"/>
        </w:rPr>
      </w:pPr>
    </w:p>
    <w:p w14:paraId="7C3CB6DB">
      <w:pPr>
        <w:spacing w:line="360" w:lineRule="auto"/>
        <w:jc w:val="left"/>
        <w:rPr>
          <w:rFonts w:cs="宋体"/>
          <w:b/>
          <w:bCs/>
          <w:szCs w:val="24"/>
          <w:highlight w:val="none"/>
        </w:rPr>
      </w:pPr>
      <w:r>
        <w:rPr>
          <w:rFonts w:hint="eastAsia" w:asciiTheme="majorEastAsia" w:hAnsiTheme="majorEastAsia" w:eastAsiaTheme="majorEastAsia"/>
          <w:b/>
          <w:sz w:val="24"/>
          <w:szCs w:val="24"/>
          <w:highlight w:val="none"/>
        </w:rPr>
        <w:t>7.2售后服务方案</w:t>
      </w:r>
    </w:p>
    <w:p w14:paraId="403FD815">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6C518674">
      <w:pPr>
        <w:spacing w:line="360" w:lineRule="auto"/>
        <w:jc w:val="left"/>
        <w:rPr>
          <w:rFonts w:cs="宋体"/>
          <w:b/>
          <w:bCs/>
          <w:szCs w:val="24"/>
          <w:highlight w:val="none"/>
        </w:rPr>
      </w:pPr>
    </w:p>
    <w:p w14:paraId="0E9FEE67">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7.3培训方案</w:t>
      </w:r>
    </w:p>
    <w:p w14:paraId="2889AC60">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Cs/>
          <w:sz w:val="24"/>
          <w:szCs w:val="24"/>
          <w:highlight w:val="none"/>
        </w:rPr>
        <w:t>根据要求提供</w:t>
      </w:r>
    </w:p>
    <w:p w14:paraId="44A6B93D">
      <w:pPr>
        <w:spacing w:line="360" w:lineRule="auto"/>
        <w:jc w:val="left"/>
        <w:rPr>
          <w:rFonts w:hint="eastAsia" w:asciiTheme="majorEastAsia" w:hAnsiTheme="majorEastAsia" w:eastAsiaTheme="majorEastAsia"/>
          <w:b/>
          <w:sz w:val="24"/>
          <w:szCs w:val="24"/>
          <w:highlight w:val="none"/>
        </w:rPr>
      </w:pPr>
    </w:p>
    <w:p w14:paraId="4B1D353F">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7.4 同类</w:t>
      </w:r>
      <w:r>
        <w:rPr>
          <w:rFonts w:hint="eastAsia" w:asciiTheme="majorEastAsia" w:hAnsiTheme="majorEastAsia" w:eastAsiaTheme="majorEastAsia"/>
          <w:b/>
          <w:sz w:val="24"/>
          <w:szCs w:val="24"/>
          <w:highlight w:val="none"/>
          <w:lang w:val="en-US" w:eastAsia="zh-CN"/>
        </w:rPr>
        <w:t>项目</w:t>
      </w:r>
      <w:r>
        <w:rPr>
          <w:rFonts w:hint="eastAsia" w:asciiTheme="majorEastAsia" w:hAnsiTheme="majorEastAsia" w:eastAsiaTheme="majorEastAsia"/>
          <w:b/>
          <w:sz w:val="24"/>
          <w:szCs w:val="24"/>
          <w:highlight w:val="none"/>
        </w:rPr>
        <w:t>业绩</w:t>
      </w:r>
    </w:p>
    <w:p w14:paraId="3A9094CB">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根据要求提供，格式仅供参考</w:t>
      </w:r>
    </w:p>
    <w:tbl>
      <w:tblPr>
        <w:tblStyle w:val="4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4"/>
        <w:gridCol w:w="2696"/>
        <w:gridCol w:w="2696"/>
        <w:gridCol w:w="2696"/>
      </w:tblGrid>
      <w:tr w14:paraId="268B8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7A90098">
            <w:pPr>
              <w:jc w:val="center"/>
              <w:rPr>
                <w:rFonts w:hint="eastAsia" w:ascii="宋体" w:hAnsi="宋体"/>
                <w:sz w:val="24"/>
                <w:szCs w:val="24"/>
                <w:highlight w:val="none"/>
              </w:rPr>
            </w:pPr>
            <w:r>
              <w:rPr>
                <w:rFonts w:hint="eastAsia" w:ascii="宋体" w:hAnsi="宋体"/>
                <w:sz w:val="24"/>
                <w:szCs w:val="24"/>
                <w:highlight w:val="none"/>
              </w:rPr>
              <w:t>序号</w:t>
            </w:r>
          </w:p>
        </w:tc>
        <w:tc>
          <w:tcPr>
            <w:tcW w:w="1392" w:type="pct"/>
            <w:vAlign w:val="center"/>
          </w:tcPr>
          <w:p w14:paraId="0988A0B0">
            <w:pPr>
              <w:jc w:val="center"/>
              <w:rPr>
                <w:rFonts w:hint="eastAsia" w:ascii="宋体" w:hAnsi="宋体"/>
                <w:sz w:val="24"/>
                <w:szCs w:val="24"/>
                <w:highlight w:val="none"/>
              </w:rPr>
            </w:pPr>
            <w:r>
              <w:rPr>
                <w:rFonts w:hint="eastAsia" w:ascii="宋体" w:hAnsi="宋体"/>
                <w:sz w:val="24"/>
                <w:szCs w:val="24"/>
                <w:highlight w:val="none"/>
              </w:rPr>
              <w:t>合同名称</w:t>
            </w:r>
          </w:p>
        </w:tc>
        <w:tc>
          <w:tcPr>
            <w:tcW w:w="1392" w:type="pct"/>
            <w:vAlign w:val="center"/>
          </w:tcPr>
          <w:p w14:paraId="59892EC4">
            <w:pPr>
              <w:jc w:val="center"/>
              <w:rPr>
                <w:rFonts w:hint="eastAsia" w:ascii="宋体" w:hAnsi="宋体"/>
                <w:sz w:val="24"/>
                <w:szCs w:val="24"/>
                <w:highlight w:val="none"/>
              </w:rPr>
            </w:pPr>
            <w:r>
              <w:rPr>
                <w:rFonts w:hint="eastAsia" w:ascii="宋体" w:hAnsi="宋体"/>
                <w:sz w:val="24"/>
                <w:szCs w:val="24"/>
                <w:highlight w:val="none"/>
              </w:rPr>
              <w:t>签订日期</w:t>
            </w:r>
          </w:p>
        </w:tc>
        <w:tc>
          <w:tcPr>
            <w:tcW w:w="1392" w:type="pct"/>
            <w:vAlign w:val="center"/>
          </w:tcPr>
          <w:p w14:paraId="7ED40332">
            <w:pPr>
              <w:jc w:val="center"/>
              <w:rPr>
                <w:rFonts w:hint="eastAsia" w:ascii="宋体" w:hAnsi="宋体"/>
                <w:sz w:val="24"/>
                <w:szCs w:val="24"/>
                <w:highlight w:val="none"/>
              </w:rPr>
            </w:pPr>
            <w:r>
              <w:rPr>
                <w:rFonts w:hint="eastAsia" w:ascii="宋体" w:hAnsi="宋体"/>
                <w:sz w:val="24"/>
                <w:szCs w:val="24"/>
                <w:highlight w:val="none"/>
              </w:rPr>
              <w:t>涉及产品</w:t>
            </w:r>
          </w:p>
        </w:tc>
      </w:tr>
      <w:tr w14:paraId="10E41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51E8A02C">
            <w:pPr>
              <w:jc w:val="left"/>
              <w:rPr>
                <w:rFonts w:hint="eastAsia" w:ascii="宋体" w:hAnsi="宋体"/>
                <w:sz w:val="24"/>
                <w:szCs w:val="24"/>
                <w:highlight w:val="none"/>
              </w:rPr>
            </w:pPr>
          </w:p>
        </w:tc>
        <w:tc>
          <w:tcPr>
            <w:tcW w:w="1392" w:type="pct"/>
            <w:vAlign w:val="center"/>
          </w:tcPr>
          <w:p w14:paraId="6455A53A">
            <w:pPr>
              <w:jc w:val="left"/>
              <w:rPr>
                <w:rFonts w:hint="eastAsia" w:ascii="宋体" w:hAnsi="宋体"/>
                <w:sz w:val="24"/>
                <w:szCs w:val="24"/>
                <w:highlight w:val="none"/>
              </w:rPr>
            </w:pPr>
          </w:p>
        </w:tc>
        <w:tc>
          <w:tcPr>
            <w:tcW w:w="1392" w:type="pct"/>
            <w:vAlign w:val="center"/>
          </w:tcPr>
          <w:p w14:paraId="44B09BD4">
            <w:pPr>
              <w:jc w:val="left"/>
              <w:rPr>
                <w:rFonts w:hint="eastAsia" w:ascii="宋体" w:hAnsi="宋体"/>
                <w:sz w:val="24"/>
                <w:szCs w:val="24"/>
                <w:highlight w:val="none"/>
              </w:rPr>
            </w:pPr>
          </w:p>
        </w:tc>
        <w:tc>
          <w:tcPr>
            <w:tcW w:w="1392" w:type="pct"/>
            <w:vAlign w:val="center"/>
          </w:tcPr>
          <w:p w14:paraId="4656F439">
            <w:pPr>
              <w:jc w:val="left"/>
              <w:rPr>
                <w:rFonts w:hint="eastAsia" w:ascii="宋体" w:hAnsi="宋体"/>
                <w:sz w:val="24"/>
                <w:szCs w:val="24"/>
                <w:highlight w:val="none"/>
              </w:rPr>
            </w:pPr>
          </w:p>
        </w:tc>
      </w:tr>
      <w:tr w14:paraId="203CF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pct"/>
            <w:vAlign w:val="center"/>
          </w:tcPr>
          <w:p w14:paraId="18762588">
            <w:pPr>
              <w:jc w:val="left"/>
              <w:rPr>
                <w:rFonts w:hint="eastAsia" w:ascii="宋体" w:hAnsi="宋体"/>
                <w:sz w:val="24"/>
                <w:szCs w:val="24"/>
                <w:highlight w:val="none"/>
              </w:rPr>
            </w:pPr>
          </w:p>
        </w:tc>
        <w:tc>
          <w:tcPr>
            <w:tcW w:w="1392" w:type="pct"/>
            <w:vAlign w:val="center"/>
          </w:tcPr>
          <w:p w14:paraId="078A9A1E">
            <w:pPr>
              <w:jc w:val="left"/>
              <w:rPr>
                <w:rFonts w:hint="eastAsia" w:ascii="宋体" w:hAnsi="宋体"/>
                <w:sz w:val="24"/>
                <w:szCs w:val="24"/>
                <w:highlight w:val="none"/>
              </w:rPr>
            </w:pPr>
          </w:p>
        </w:tc>
        <w:tc>
          <w:tcPr>
            <w:tcW w:w="1392" w:type="pct"/>
            <w:vAlign w:val="center"/>
          </w:tcPr>
          <w:p w14:paraId="6B471DDA">
            <w:pPr>
              <w:jc w:val="left"/>
              <w:rPr>
                <w:rFonts w:hint="eastAsia" w:ascii="宋体" w:hAnsi="宋体"/>
                <w:sz w:val="24"/>
                <w:szCs w:val="24"/>
                <w:highlight w:val="none"/>
              </w:rPr>
            </w:pPr>
          </w:p>
        </w:tc>
        <w:tc>
          <w:tcPr>
            <w:tcW w:w="1392" w:type="pct"/>
            <w:vAlign w:val="center"/>
          </w:tcPr>
          <w:p w14:paraId="225133CD">
            <w:pPr>
              <w:jc w:val="left"/>
              <w:rPr>
                <w:rFonts w:hint="eastAsia" w:ascii="宋体" w:hAnsi="宋体"/>
                <w:sz w:val="24"/>
                <w:szCs w:val="24"/>
                <w:highlight w:val="none"/>
              </w:rPr>
            </w:pPr>
          </w:p>
        </w:tc>
      </w:tr>
    </w:tbl>
    <w:p w14:paraId="5F2F8FB4">
      <w:pPr>
        <w:spacing w:line="360" w:lineRule="auto"/>
        <w:jc w:val="left"/>
        <w:rPr>
          <w:rFonts w:hint="eastAsia" w:asciiTheme="majorEastAsia" w:hAnsiTheme="majorEastAsia" w:eastAsiaTheme="majorEastAsia"/>
          <w:b/>
          <w:sz w:val="24"/>
          <w:szCs w:val="24"/>
          <w:highlight w:val="none"/>
        </w:rPr>
      </w:pPr>
    </w:p>
    <w:p w14:paraId="3EA8D9DC">
      <w:pPr>
        <w:spacing w:line="360" w:lineRule="auto"/>
        <w:jc w:val="left"/>
        <w:rPr>
          <w:rFonts w:hint="eastAsia" w:asciiTheme="majorEastAsia" w:hAnsiTheme="majorEastAsia" w:eastAsiaTheme="majorEastAsia"/>
          <w:b/>
          <w:sz w:val="24"/>
          <w:szCs w:val="24"/>
          <w:highlight w:val="none"/>
        </w:rPr>
      </w:pPr>
      <w:r>
        <w:rPr>
          <w:rFonts w:hint="eastAsia" w:asciiTheme="majorEastAsia" w:hAnsiTheme="majorEastAsia" w:eastAsiaTheme="majorEastAsia"/>
          <w:b/>
          <w:sz w:val="24"/>
          <w:szCs w:val="24"/>
          <w:highlight w:val="none"/>
        </w:rPr>
        <w:t>7.5 质保期（格式自拟）</w:t>
      </w:r>
    </w:p>
    <w:p w14:paraId="6EBAB538">
      <w:pPr>
        <w:spacing w:line="360" w:lineRule="auto"/>
        <w:jc w:val="left"/>
        <w:rPr>
          <w:rFonts w:hint="eastAsia" w:asciiTheme="majorEastAsia" w:hAnsiTheme="majorEastAsia" w:eastAsiaTheme="majorEastAsia"/>
          <w:bCs/>
          <w:sz w:val="24"/>
          <w:szCs w:val="24"/>
          <w:highlight w:val="none"/>
        </w:rPr>
      </w:pPr>
      <w:r>
        <w:rPr>
          <w:rFonts w:hint="eastAsia" w:asciiTheme="majorEastAsia" w:hAnsiTheme="majorEastAsia" w:eastAsiaTheme="majorEastAsia"/>
          <w:bCs/>
          <w:sz w:val="24"/>
          <w:szCs w:val="24"/>
          <w:highlight w:val="none"/>
        </w:rPr>
        <w:t>提供《质保期承诺书》（格式自拟）</w:t>
      </w:r>
    </w:p>
    <w:p w14:paraId="0BC71F8E">
      <w:pPr>
        <w:pStyle w:val="61"/>
        <w:rPr>
          <w:highlight w:val="none"/>
        </w:rPr>
      </w:pPr>
    </w:p>
    <w:p w14:paraId="711247F3">
      <w:pPr>
        <w:spacing w:line="360" w:lineRule="auto"/>
        <w:rPr>
          <w:rFonts w:hint="eastAsia" w:ascii="宋体" w:hAnsi="宋体"/>
          <w:b/>
          <w:color w:val="000000" w:themeColor="text1"/>
          <w:highlight w:val="none"/>
          <w14:textFill>
            <w14:solidFill>
              <w14:schemeClr w14:val="tx1"/>
            </w14:solidFill>
          </w14:textFill>
        </w:rPr>
      </w:pPr>
    </w:p>
    <w:p w14:paraId="655F2C69">
      <w:pPr>
        <w:spacing w:line="360" w:lineRule="auto"/>
        <w:rPr>
          <w:rFonts w:hint="eastAsia" w:ascii="宋体" w:hAnsi="宋体"/>
          <w:b/>
          <w:color w:val="000000" w:themeColor="text1"/>
          <w:highlight w:val="none"/>
          <w14:textFill>
            <w14:solidFill>
              <w14:schemeClr w14:val="tx1"/>
            </w14:solidFill>
          </w14:textFill>
        </w:rPr>
      </w:pPr>
    </w:p>
    <w:p w14:paraId="0F37B128">
      <w:pPr>
        <w:widowControl/>
        <w:jc w:val="left"/>
        <w:rPr>
          <w:b/>
          <w:color w:val="000000" w:themeColor="text1"/>
          <w:highlight w:val="none"/>
          <w14:textFill>
            <w14:solidFill>
              <w14:schemeClr w14:val="tx1"/>
            </w14:solidFill>
          </w14:textFill>
        </w:rPr>
      </w:pPr>
      <w:r>
        <w:rPr>
          <w:b/>
          <w:color w:val="000000" w:themeColor="text1"/>
          <w:highlight w:val="none"/>
          <w14:textFill>
            <w14:solidFill>
              <w14:schemeClr w14:val="tx1"/>
            </w14:solidFill>
          </w14:textFill>
        </w:rPr>
        <w:br w:type="page"/>
      </w:r>
    </w:p>
    <w:p w14:paraId="66940C6B">
      <w:pPr>
        <w:pStyle w:val="17"/>
        <w:spacing w:line="360" w:lineRule="auto"/>
        <w:ind w:firstLine="482"/>
        <w:outlineLvl w:val="1"/>
        <w:rPr>
          <w:rFonts w:hint="eastAsia" w:ascii="宋体" w:hAnsi="宋体"/>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八</w:t>
      </w:r>
      <w:r>
        <w:rPr>
          <w:b/>
          <w:color w:val="000000" w:themeColor="text1"/>
          <w:highlight w:val="none"/>
          <w14:textFill>
            <w14:solidFill>
              <w14:schemeClr w14:val="tx1"/>
            </w14:solidFill>
          </w14:textFill>
        </w:rPr>
        <w:t>、响应需要的其他证明文件及材料</w:t>
      </w:r>
    </w:p>
    <w:p w14:paraId="58AD4A3F">
      <w:pPr>
        <w:spacing w:line="360" w:lineRule="auto"/>
        <w:ind w:firstLine="480" w:firstLineChars="200"/>
        <w:jc w:val="left"/>
        <w:rPr>
          <w:rFonts w:hint="eastAsia" w:ascii="宋体" w:hAnsi="宋体"/>
          <w:sz w:val="24"/>
          <w:szCs w:val="24"/>
          <w:highlight w:val="none"/>
        </w:rPr>
      </w:pPr>
    </w:p>
    <w:p w14:paraId="0B0649E0">
      <w:pPr>
        <w:spacing w:line="360" w:lineRule="auto"/>
        <w:ind w:firstLine="480" w:firstLineChars="200"/>
        <w:jc w:val="left"/>
        <w:rPr>
          <w:rFonts w:hint="eastAsia" w:ascii="宋体" w:hAnsi="宋体"/>
          <w:sz w:val="24"/>
          <w:szCs w:val="24"/>
          <w:highlight w:val="none"/>
        </w:rPr>
      </w:pPr>
      <w:r>
        <w:rPr>
          <w:rFonts w:hint="eastAsia" w:ascii="宋体" w:hAnsi="宋体"/>
          <w:sz w:val="24"/>
          <w:szCs w:val="24"/>
          <w:highlight w:val="none"/>
        </w:rPr>
        <w:t>响应需要的其他证明文件及材料（若有）</w:t>
      </w:r>
    </w:p>
    <w:p w14:paraId="0B4CDAF0">
      <w:pPr>
        <w:pStyle w:val="17"/>
        <w:spacing w:line="360" w:lineRule="auto"/>
        <w:ind w:firstLine="482"/>
        <w:outlineLvl w:val="1"/>
        <w:rPr>
          <w:rFonts w:hint="eastAsia" w:ascii="宋体" w:hAnsi="宋体"/>
          <w:b/>
          <w:bCs/>
          <w:sz w:val="24"/>
          <w:szCs w:val="24"/>
          <w:highlight w:val="none"/>
        </w:rPr>
      </w:pPr>
      <w:r>
        <w:rPr>
          <w:rFonts w:hint="eastAsia" w:ascii="宋体" w:hAnsi="宋体"/>
          <w:color w:val="000000" w:themeColor="text1"/>
          <w:highlight w:val="none"/>
          <w14:textFill>
            <w14:solidFill>
              <w14:schemeClr w14:val="tx1"/>
            </w14:solidFill>
          </w14:textFill>
        </w:rPr>
        <w:br w:type="page"/>
      </w:r>
      <w:r>
        <w:rPr>
          <w:rFonts w:hint="eastAsia"/>
          <w:b/>
          <w:color w:val="000000" w:themeColor="text1"/>
          <w:highlight w:val="none"/>
          <w14:textFill>
            <w14:solidFill>
              <w14:schemeClr w14:val="tx1"/>
            </w14:solidFill>
          </w14:textFill>
        </w:rPr>
        <w:t>附件一、无重大违法记录声明格式</w:t>
      </w:r>
    </w:p>
    <w:p w14:paraId="1E77E462">
      <w:pPr>
        <w:spacing w:line="360" w:lineRule="auto"/>
        <w:ind w:firstLine="482" w:firstLineChars="200"/>
        <w:jc w:val="left"/>
        <w:rPr>
          <w:rFonts w:hint="eastAsia" w:ascii="宋体" w:hAnsi="宋体"/>
          <w:b/>
          <w:bCs/>
          <w:sz w:val="24"/>
          <w:szCs w:val="24"/>
          <w:highlight w:val="none"/>
        </w:rPr>
      </w:pPr>
    </w:p>
    <w:p w14:paraId="78814A1B">
      <w:pPr>
        <w:spacing w:line="360" w:lineRule="auto"/>
        <w:ind w:firstLine="482" w:firstLineChars="200"/>
        <w:jc w:val="center"/>
        <w:rPr>
          <w:rFonts w:hint="eastAsia" w:ascii="宋体" w:hAnsi="宋体"/>
          <w:b/>
          <w:bCs/>
          <w:sz w:val="24"/>
          <w:szCs w:val="24"/>
          <w:highlight w:val="none"/>
        </w:rPr>
      </w:pPr>
      <w:r>
        <w:rPr>
          <w:rFonts w:hint="eastAsia" w:ascii="宋体" w:hAnsi="宋体"/>
          <w:b/>
          <w:bCs/>
          <w:sz w:val="24"/>
          <w:szCs w:val="24"/>
          <w:highlight w:val="none"/>
        </w:rPr>
        <w:t>无重大违法记录声明</w:t>
      </w:r>
    </w:p>
    <w:p w14:paraId="1304EB17">
      <w:pPr>
        <w:spacing w:line="360" w:lineRule="auto"/>
        <w:rPr>
          <w:rFonts w:hint="eastAsia" w:ascii="宋体" w:hAnsi="宋体"/>
          <w:color w:val="000000" w:themeColor="text1"/>
          <w:highlight w:val="none"/>
          <w14:textFill>
            <w14:solidFill>
              <w14:schemeClr w14:val="tx1"/>
            </w14:solidFill>
          </w14:textFill>
        </w:rPr>
      </w:pPr>
    </w:p>
    <w:p w14:paraId="3EBB9FCE">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3EEE827E">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w:t>
      </w:r>
    </w:p>
    <w:p w14:paraId="5F1101C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参加采购活动前3年内在经营活动中</w:t>
      </w:r>
      <w:r>
        <w:rPr>
          <w:color w:val="000000" w:themeColor="text1"/>
          <w:highlight w:val="none"/>
          <w:u w:val="single"/>
          <w14:textFill>
            <w14:solidFill>
              <w14:schemeClr w14:val="tx1"/>
            </w14:solidFill>
          </w14:textFill>
        </w:rPr>
        <w:t xml:space="preserve">     </w:t>
      </w:r>
      <w:r>
        <w:rPr>
          <w:rFonts w:hint="eastAsia"/>
          <w:color w:val="000000" w:themeColor="text1"/>
          <w:highlight w:val="none"/>
          <w:u w:val="single"/>
          <w14:textFill>
            <w14:solidFill>
              <w14:schemeClr w14:val="tx1"/>
            </w14:solidFill>
          </w14:textFill>
        </w:rPr>
        <w:t>没有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（在下划线上如实填写：有或没有）重大违法记录。</w:t>
      </w:r>
    </w:p>
    <w:p w14:paraId="2A7D04C2">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（说明：所称重大违法记录，是指供应商因违法经营受到刑事处罚或者责令停产停业、吊销许可证或者执照、较大数额罚款等行政处罚。）</w:t>
      </w:r>
    </w:p>
    <w:p w14:paraId="192C506F">
      <w:pPr>
        <w:spacing w:line="360" w:lineRule="auto"/>
        <w:rPr>
          <w:rFonts w:hint="eastAsia" w:ascii="宋体" w:hAnsi="宋体" w:cs="宋体"/>
          <w:color w:val="000000" w:themeColor="text1"/>
          <w:sz w:val="24"/>
          <w:szCs w:val="24"/>
          <w:highlight w:val="none"/>
          <w14:textFill>
            <w14:solidFill>
              <w14:schemeClr w14:val="tx1"/>
            </w14:solidFill>
          </w14:textFill>
        </w:rPr>
      </w:pPr>
    </w:p>
    <w:p w14:paraId="54167084">
      <w:pPr>
        <w:spacing w:line="360" w:lineRule="auto"/>
        <w:rPr>
          <w:rFonts w:hint="eastAsia" w:ascii="宋体" w:hAnsi="宋体" w:cs="宋体"/>
          <w:color w:val="000000" w:themeColor="text1"/>
          <w:sz w:val="24"/>
          <w:szCs w:val="24"/>
          <w:highlight w:val="none"/>
          <w14:textFill>
            <w14:solidFill>
              <w14:schemeClr w14:val="tx1"/>
            </w14:solidFill>
          </w14:textFill>
        </w:rPr>
      </w:pPr>
    </w:p>
    <w:p w14:paraId="7BE748A6">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声明人（公章）：</w:t>
      </w:r>
    </w:p>
    <w:p w14:paraId="72DAFA31">
      <w:pPr>
        <w:spacing w:line="360" w:lineRule="auto"/>
        <w:ind w:firstLine="6000" w:firstLineChars="2500"/>
        <w:rPr>
          <w:rFonts w:ascii="Times New Roman" w:hAnsi="Times New Roman"/>
          <w:color w:val="000000" w:themeColor="text1"/>
          <w:sz w:val="24"/>
          <w:szCs w:val="24"/>
          <w:highlight w:val="none"/>
          <w14:textFill>
            <w14:solidFill>
              <w14:schemeClr w14:val="tx1"/>
            </w14:solidFill>
          </w14:textFill>
        </w:rPr>
      </w:pPr>
      <w:r>
        <w:rPr>
          <w:rFonts w:hint="eastAsia" w:ascii="Times New Roman" w:hAnsi="Times New Roman"/>
          <w:color w:val="000000" w:themeColor="text1"/>
          <w:sz w:val="24"/>
          <w:szCs w:val="24"/>
          <w:highlight w:val="none"/>
          <w14:textFill>
            <w14:solidFill>
              <w14:schemeClr w14:val="tx1"/>
            </w14:solidFill>
          </w14:textFill>
        </w:rPr>
        <w:t>日期：年月日</w:t>
      </w:r>
    </w:p>
    <w:p w14:paraId="55BD2D99">
      <w:pPr>
        <w:spacing w:line="360" w:lineRule="auto"/>
        <w:rPr>
          <w:color w:val="000000" w:themeColor="text1"/>
          <w:highlight w:val="none"/>
          <w14:textFill>
            <w14:solidFill>
              <w14:schemeClr w14:val="tx1"/>
            </w14:solidFill>
          </w14:textFill>
        </w:rPr>
      </w:pPr>
    </w:p>
    <w:p w14:paraId="558B33E7">
      <w:pPr>
        <w:spacing w:line="360" w:lineRule="auto"/>
        <w:rPr>
          <w:rFonts w:hint="eastAsia" w:ascii="宋体" w:hAnsi="宋体"/>
          <w:b/>
          <w:color w:val="000000" w:themeColor="text1"/>
          <w:highlight w:val="none"/>
          <w14:textFill>
            <w14:solidFill>
              <w14:schemeClr w14:val="tx1"/>
            </w14:solidFill>
          </w14:textFill>
        </w:rPr>
      </w:pPr>
    </w:p>
    <w:p w14:paraId="5852FF48">
      <w:pPr>
        <w:pStyle w:val="17"/>
        <w:spacing w:line="360" w:lineRule="auto"/>
        <w:ind w:firstLine="482"/>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附件二、具备履行合同所必需的设备和专业技术能力的声明格式或证明材料</w:t>
      </w:r>
    </w:p>
    <w:p w14:paraId="0318493F">
      <w:pPr>
        <w:spacing w:line="360" w:lineRule="auto"/>
        <w:ind w:firstLine="482" w:firstLineChars="200"/>
        <w:jc w:val="center"/>
        <w:rPr>
          <w:rFonts w:hint="eastAsia" w:ascii="宋体" w:hAnsi="宋体"/>
          <w:b/>
          <w:bCs/>
          <w:sz w:val="24"/>
          <w:szCs w:val="24"/>
          <w:highlight w:val="none"/>
        </w:rPr>
      </w:pPr>
      <w:r>
        <w:rPr>
          <w:rFonts w:hint="eastAsia" w:ascii="宋体" w:hAnsi="宋体"/>
          <w:b/>
          <w:bCs/>
          <w:sz w:val="24"/>
          <w:szCs w:val="24"/>
          <w:highlight w:val="none"/>
        </w:rPr>
        <w:t>具备履行合同所必需的设备和专业技术能力的声明</w:t>
      </w:r>
    </w:p>
    <w:p w14:paraId="55BEB26E">
      <w:pPr>
        <w:pStyle w:val="17"/>
        <w:spacing w:line="360" w:lineRule="auto"/>
        <w:ind w:firstLine="0" w:firstLineChars="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致：（采购人）</w:t>
      </w:r>
    </w:p>
    <w:p w14:paraId="0FCFF6D0">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我单位（供应商名称）郑重声明：我公司具备履行本项采购合同所必需的设备和专业技术能力，为履行本项采购合同我单位具备如下主要设备和主要专业技术能力：</w:t>
      </w:r>
    </w:p>
    <w:p w14:paraId="383C53AB">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主要设备有：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7D62933F">
      <w:pPr>
        <w:pStyle w:val="17"/>
        <w:spacing w:line="360" w:lineRule="auto"/>
        <w:ind w:firstLine="48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主要专业技术能力有：</w:t>
      </w:r>
      <w:r>
        <w:rPr>
          <w:color w:val="000000" w:themeColor="text1"/>
          <w:highlight w:val="none"/>
          <w:u w:val="single"/>
          <w14:textFill>
            <w14:solidFill>
              <w14:schemeClr w14:val="tx1"/>
            </w14:solidFill>
          </w14:textFill>
        </w:rPr>
        <w:t xml:space="preserve">         </w:t>
      </w:r>
      <w:r>
        <w:rPr>
          <w:color w:val="000000" w:themeColor="text1"/>
          <w:highlight w:val="none"/>
          <w14:textFill>
            <w14:solidFill>
              <w14:schemeClr w14:val="tx1"/>
            </w14:solidFill>
          </w14:textFill>
        </w:rPr>
        <w:t>。（若有）</w:t>
      </w:r>
    </w:p>
    <w:p w14:paraId="49B7C6B5">
      <w:pPr>
        <w:spacing w:line="360" w:lineRule="auto"/>
        <w:rPr>
          <w:rFonts w:hint="eastAsia" w:ascii="宋体" w:hAnsi="宋体" w:cs="宋体"/>
          <w:color w:val="000000" w:themeColor="text1"/>
          <w:sz w:val="24"/>
          <w:highlight w:val="none"/>
          <w14:textFill>
            <w14:solidFill>
              <w14:schemeClr w14:val="tx1"/>
            </w14:solidFill>
          </w14:textFill>
        </w:rPr>
      </w:pPr>
    </w:p>
    <w:p w14:paraId="2A4EDA1C">
      <w:pPr>
        <w:spacing w:line="360" w:lineRule="auto"/>
        <w:rPr>
          <w:rFonts w:hint="eastAsia" w:ascii="宋体" w:hAnsi="宋体" w:cs="宋体"/>
          <w:color w:val="000000" w:themeColor="text1"/>
          <w:sz w:val="24"/>
          <w:highlight w:val="none"/>
          <w14:textFill>
            <w14:solidFill>
              <w14:schemeClr w14:val="tx1"/>
            </w14:solidFill>
          </w14:textFill>
        </w:rPr>
      </w:pPr>
    </w:p>
    <w:p w14:paraId="2E121B2C">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声明人（公章）：</w:t>
      </w:r>
    </w:p>
    <w:p w14:paraId="07A926E7">
      <w:pPr>
        <w:spacing w:line="360" w:lineRule="auto"/>
        <w:ind w:firstLine="6000" w:firstLineChars="25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日期：     年    月    日</w:t>
      </w:r>
    </w:p>
    <w:p w14:paraId="7F461D11">
      <w:pPr>
        <w:pStyle w:val="17"/>
        <w:spacing w:line="360" w:lineRule="auto"/>
        <w:ind w:firstLine="482"/>
        <w:outlineLvl w:val="1"/>
        <w:rPr>
          <w:rFonts w:hint="eastAsia"/>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附件三、承诺书</w:t>
      </w:r>
    </w:p>
    <w:p w14:paraId="3FD61B5F">
      <w:pPr>
        <w:spacing w:line="360" w:lineRule="auto"/>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致：（采购人）</w:t>
      </w:r>
    </w:p>
    <w:p w14:paraId="13E4F1A4">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我单位（供应商名称）</w:t>
      </w:r>
      <w:r>
        <w:rPr>
          <w:rFonts w:hint="eastAsia" w:ascii="Times New Roman" w:hAnsi="Times New Roman"/>
          <w:color w:val="000000" w:themeColor="text1"/>
          <w:sz w:val="24"/>
          <w:highlight w:val="none"/>
          <w:u w:val="single"/>
          <w14:textFill>
            <w14:solidFill>
              <w14:schemeClr w14:val="tx1"/>
            </w14:solidFill>
          </w14:textFill>
        </w:rPr>
        <w:t xml:space="preserve">                </w:t>
      </w:r>
      <w:r>
        <w:rPr>
          <w:rFonts w:hint="eastAsia" w:ascii="Times New Roman" w:hAnsi="Times New Roman"/>
          <w:color w:val="000000" w:themeColor="text1"/>
          <w:sz w:val="24"/>
          <w:highlight w:val="none"/>
          <w14:textFill>
            <w14:solidFill>
              <w14:schemeClr w14:val="tx1"/>
            </w14:solidFill>
          </w14:textFill>
        </w:rPr>
        <w:t>承诺：</w:t>
      </w:r>
    </w:p>
    <w:p w14:paraId="5116EA28">
      <w:pPr>
        <w:adjustRightInd w:val="0"/>
        <w:spacing w:line="360" w:lineRule="auto"/>
        <w:ind w:firstLine="480" w:firstLineChars="200"/>
        <w:rPr>
          <w:rFonts w:ascii="Times New Roman" w:hAnsi="Times New Roman"/>
          <w:color w:val="000000" w:themeColor="text1"/>
          <w:sz w:val="24"/>
          <w:highlight w:val="none"/>
          <w14:textFill>
            <w14:solidFill>
              <w14:schemeClr w14:val="tx1"/>
            </w14:solidFill>
          </w14:textFill>
        </w:rPr>
      </w:pPr>
    </w:p>
    <w:p w14:paraId="7721E89B">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hint="eastAsia" w:ascii="Times New Roman" w:hAnsi="Times New Roman"/>
          <w:color w:val="000000" w:themeColor="text1"/>
          <w:sz w:val="24"/>
          <w:highlight w:val="none"/>
          <w14:textFill>
            <w14:solidFill>
              <w14:schemeClr w14:val="tx1"/>
            </w14:solidFill>
          </w14:textFill>
        </w:rPr>
        <w:t>承诺人</w:t>
      </w:r>
      <w:r>
        <w:rPr>
          <w:rFonts w:ascii="Times New Roman" w:hAnsi="Times New Roman"/>
          <w:color w:val="000000" w:themeColor="text1"/>
          <w:sz w:val="24"/>
          <w:highlight w:val="none"/>
          <w14:textFill>
            <w14:solidFill>
              <w14:schemeClr w14:val="tx1"/>
            </w14:solidFill>
          </w14:textFill>
        </w:rPr>
        <w:t>（公章）：</w:t>
      </w:r>
    </w:p>
    <w:p w14:paraId="6AE5679C">
      <w:pPr>
        <w:adjustRightInd w:val="0"/>
        <w:spacing w:line="360" w:lineRule="auto"/>
        <w:ind w:firstLine="6480" w:firstLineChars="2700"/>
        <w:rPr>
          <w:rFonts w:ascii="Times New Roman" w:hAnsi="Times New Roman"/>
          <w:color w:val="000000" w:themeColor="text1"/>
          <w:sz w:val="24"/>
          <w:highlight w:val="none"/>
          <w14:textFill>
            <w14:solidFill>
              <w14:schemeClr w14:val="tx1"/>
            </w14:solidFill>
          </w14:textFill>
        </w:rPr>
      </w:pPr>
      <w:r>
        <w:rPr>
          <w:rFonts w:ascii="Times New Roman" w:hAnsi="Times New Roman"/>
          <w:color w:val="000000" w:themeColor="text1"/>
          <w:sz w:val="24"/>
          <w:highlight w:val="none"/>
          <w14:textFill>
            <w14:solidFill>
              <w14:schemeClr w14:val="tx1"/>
            </w14:solidFill>
          </w14:textFill>
        </w:rPr>
        <w:t>日期：     年    月    日</w:t>
      </w:r>
    </w:p>
    <w:p w14:paraId="7DC4BBB0">
      <w:pPr>
        <w:spacing w:line="360" w:lineRule="auto"/>
        <w:rPr>
          <w:highlight w:val="none"/>
        </w:rPr>
      </w:pPr>
    </w:p>
    <w:sectPr>
      <w:headerReference r:id="rId3" w:type="default"/>
      <w:footerReference r:id="rId4"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Segoe UI Symbol">
    <w:panose1 w:val="020B0502040204020203"/>
    <w:charset w:val="00"/>
    <w:family w:val="swiss"/>
    <w:pitch w:val="default"/>
    <w:sig w:usb0="800001E3" w:usb1="1200FFEF" w:usb2="00040000" w:usb3="04000000" w:csb0="00000001" w:csb1="4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368C2C">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0356B3D0">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0356B3D0">
                    <w:pPr>
                      <w:pStyle w:val="28"/>
                      <w:rPr>
                        <w:rFonts w:hint="eastAsia"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1</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41</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A68B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5EFA61E"/>
    <w:multiLevelType w:val="singleLevel"/>
    <w:tmpl w:val="A5EFA61E"/>
    <w:lvl w:ilvl="0" w:tentative="0">
      <w:start w:val="1"/>
      <w:numFmt w:val="decimal"/>
      <w:suff w:val="nothing"/>
      <w:lvlText w:val="（%1）"/>
      <w:lvlJc w:val="left"/>
      <w:pPr>
        <w:ind w:left="0" w:firstLine="480"/>
      </w:pPr>
      <w:rPr>
        <w:rFonts w:hint="default"/>
      </w:rPr>
    </w:lvl>
  </w:abstractNum>
  <w:abstractNum w:abstractNumId="12">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3">
    <w:nsid w:val="A9551E3F"/>
    <w:multiLevelType w:val="singleLevel"/>
    <w:tmpl w:val="A9551E3F"/>
    <w:lvl w:ilvl="0" w:tentative="0">
      <w:start w:val="1"/>
      <w:numFmt w:val="chineseCounting"/>
      <w:suff w:val="nothing"/>
      <w:lvlText w:val="%1、"/>
      <w:lvlJc w:val="left"/>
      <w:pPr>
        <w:ind w:left="0" w:firstLine="420"/>
      </w:pPr>
      <w:rPr>
        <w:rFonts w:hint="eastAsia"/>
      </w:rPr>
    </w:lvl>
  </w:abstractNum>
  <w:abstractNum w:abstractNumId="14">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5">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6">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7">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8">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9">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20">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21">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2">
    <w:nsid w:val="D0BC508B"/>
    <w:multiLevelType w:val="singleLevel"/>
    <w:tmpl w:val="D0BC508B"/>
    <w:lvl w:ilvl="0" w:tentative="0">
      <w:start w:val="1"/>
      <w:numFmt w:val="decimal"/>
      <w:lvlText w:val="%1)"/>
      <w:lvlJc w:val="left"/>
      <w:pPr>
        <w:ind w:left="425" w:hanging="425"/>
      </w:pPr>
      <w:rPr>
        <w:rFonts w:hint="default"/>
      </w:rPr>
    </w:lvl>
  </w:abstractNum>
  <w:abstractNum w:abstractNumId="23">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4">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5">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6">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7">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8">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9">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30">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31">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2">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3">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4">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5">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6">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7">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8">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9">
    <w:nsid w:val="22D1D516"/>
    <w:multiLevelType w:val="singleLevel"/>
    <w:tmpl w:val="22D1D516"/>
    <w:lvl w:ilvl="0" w:tentative="0">
      <w:start w:val="1"/>
      <w:numFmt w:val="decimal"/>
      <w:suff w:val="nothing"/>
      <w:lvlText w:val="%1、"/>
      <w:lvlJc w:val="left"/>
      <w:pPr>
        <w:ind w:left="0" w:firstLine="482"/>
      </w:pPr>
      <w:rPr>
        <w:rFonts w:hint="default"/>
      </w:rPr>
    </w:lvl>
  </w:abstractNum>
  <w:abstractNum w:abstractNumId="40">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41">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2">
    <w:nsid w:val="318533B0"/>
    <w:multiLevelType w:val="singleLevel"/>
    <w:tmpl w:val="318533B0"/>
    <w:lvl w:ilvl="0" w:tentative="0">
      <w:start w:val="4"/>
      <w:numFmt w:val="chineseCounting"/>
      <w:suff w:val="space"/>
      <w:lvlText w:val="第%1章"/>
      <w:lvlJc w:val="left"/>
      <w:rPr>
        <w:rFonts w:hint="eastAsia"/>
      </w:rPr>
    </w:lvl>
  </w:abstractNum>
  <w:abstractNum w:abstractNumId="43">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4">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5">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6">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7">
    <w:nsid w:val="4ADF52D3"/>
    <w:multiLevelType w:val="singleLevel"/>
    <w:tmpl w:val="4ADF52D3"/>
    <w:lvl w:ilvl="0" w:tentative="0">
      <w:start w:val="1"/>
      <w:numFmt w:val="decimalEnclosedCircleChinese"/>
      <w:suff w:val="nothing"/>
      <w:lvlText w:val="%1　"/>
      <w:lvlJc w:val="left"/>
      <w:pPr>
        <w:ind w:left="0" w:firstLine="400"/>
      </w:pPr>
      <w:rPr>
        <w:rFonts w:hint="eastAsia"/>
      </w:rPr>
    </w:lvl>
  </w:abstractNum>
  <w:abstractNum w:abstractNumId="48">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9">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50">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5"/>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1">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52">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3">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4">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5">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6">
    <w:nsid w:val="64A0FCEA"/>
    <w:multiLevelType w:val="singleLevel"/>
    <w:tmpl w:val="64A0FCEA"/>
    <w:lvl w:ilvl="0" w:tentative="0">
      <w:start w:val="1"/>
      <w:numFmt w:val="decimal"/>
      <w:lvlText w:val="%1."/>
      <w:lvlJc w:val="left"/>
      <w:pPr>
        <w:ind w:left="425" w:hanging="425"/>
      </w:pPr>
      <w:rPr>
        <w:rFonts w:hint="default"/>
      </w:rPr>
    </w:lvl>
  </w:abstractNum>
  <w:abstractNum w:abstractNumId="57">
    <w:nsid w:val="6D354E44"/>
    <w:multiLevelType w:val="multilevel"/>
    <w:tmpl w:val="6D354E44"/>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decimal"/>
      <w:lvlText w:val="%3."/>
      <w:lvlJc w:val="right"/>
      <w:pPr>
        <w:ind w:left="1320" w:hanging="440"/>
      </w:pPr>
      <w:rPr>
        <w:rFonts w:hint="eastAsia"/>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58">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9">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60">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61">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62">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50"/>
  </w:num>
  <w:num w:numId="2">
    <w:abstractNumId w:val="14"/>
  </w:num>
  <w:num w:numId="3">
    <w:abstractNumId w:val="38"/>
  </w:num>
  <w:num w:numId="4">
    <w:abstractNumId w:val="61"/>
  </w:num>
  <w:num w:numId="5">
    <w:abstractNumId w:val="58"/>
  </w:num>
  <w:num w:numId="6">
    <w:abstractNumId w:val="34"/>
  </w:num>
  <w:num w:numId="7">
    <w:abstractNumId w:val="21"/>
  </w:num>
  <w:num w:numId="8">
    <w:abstractNumId w:val="45"/>
  </w:num>
  <w:num w:numId="9">
    <w:abstractNumId w:val="41"/>
  </w:num>
  <w:num w:numId="10">
    <w:abstractNumId w:val="8"/>
  </w:num>
  <w:num w:numId="11">
    <w:abstractNumId w:val="17"/>
  </w:num>
  <w:num w:numId="12">
    <w:abstractNumId w:val="49"/>
  </w:num>
  <w:num w:numId="13">
    <w:abstractNumId w:val="62"/>
  </w:num>
  <w:num w:numId="14">
    <w:abstractNumId w:val="12"/>
  </w:num>
  <w:num w:numId="15">
    <w:abstractNumId w:val="59"/>
  </w:num>
  <w:num w:numId="16">
    <w:abstractNumId w:val="40"/>
  </w:num>
  <w:num w:numId="17">
    <w:abstractNumId w:val="55"/>
  </w:num>
  <w:num w:numId="18">
    <w:abstractNumId w:val="43"/>
  </w:num>
  <w:num w:numId="19">
    <w:abstractNumId w:val="33"/>
  </w:num>
  <w:num w:numId="20">
    <w:abstractNumId w:val="37"/>
  </w:num>
  <w:num w:numId="21">
    <w:abstractNumId w:val="15"/>
  </w:num>
  <w:num w:numId="22">
    <w:abstractNumId w:val="26"/>
  </w:num>
  <w:num w:numId="23">
    <w:abstractNumId w:val="32"/>
  </w:num>
  <w:num w:numId="24">
    <w:abstractNumId w:val="46"/>
  </w:num>
  <w:num w:numId="25">
    <w:abstractNumId w:val="28"/>
  </w:num>
  <w:num w:numId="26">
    <w:abstractNumId w:val="6"/>
  </w:num>
  <w:num w:numId="27">
    <w:abstractNumId w:val="48"/>
  </w:num>
  <w:num w:numId="28">
    <w:abstractNumId w:val="16"/>
  </w:num>
  <w:num w:numId="29">
    <w:abstractNumId w:val="2"/>
  </w:num>
  <w:num w:numId="30">
    <w:abstractNumId w:val="51"/>
  </w:num>
  <w:num w:numId="31">
    <w:abstractNumId w:val="44"/>
  </w:num>
  <w:num w:numId="32">
    <w:abstractNumId w:val="35"/>
  </w:num>
  <w:num w:numId="33">
    <w:abstractNumId w:val="7"/>
  </w:num>
  <w:num w:numId="34">
    <w:abstractNumId w:val="36"/>
  </w:num>
  <w:num w:numId="35">
    <w:abstractNumId w:val="53"/>
  </w:num>
  <w:num w:numId="36">
    <w:abstractNumId w:val="52"/>
  </w:num>
  <w:num w:numId="37">
    <w:abstractNumId w:val="3"/>
  </w:num>
  <w:num w:numId="38">
    <w:abstractNumId w:val="29"/>
  </w:num>
  <w:num w:numId="39">
    <w:abstractNumId w:val="54"/>
  </w:num>
  <w:num w:numId="40">
    <w:abstractNumId w:val="25"/>
  </w:num>
  <w:num w:numId="41">
    <w:abstractNumId w:val="9"/>
  </w:num>
  <w:num w:numId="42">
    <w:abstractNumId w:val="4"/>
  </w:num>
  <w:num w:numId="43">
    <w:abstractNumId w:val="10"/>
  </w:num>
  <w:num w:numId="44">
    <w:abstractNumId w:val="30"/>
  </w:num>
  <w:num w:numId="45">
    <w:abstractNumId w:val="18"/>
  </w:num>
  <w:num w:numId="46">
    <w:abstractNumId w:val="27"/>
  </w:num>
  <w:num w:numId="47">
    <w:abstractNumId w:val="19"/>
  </w:num>
  <w:num w:numId="48">
    <w:abstractNumId w:val="60"/>
  </w:num>
  <w:num w:numId="49">
    <w:abstractNumId w:val="20"/>
  </w:num>
  <w:num w:numId="50">
    <w:abstractNumId w:val="24"/>
  </w:num>
  <w:num w:numId="51">
    <w:abstractNumId w:val="1"/>
  </w:num>
  <w:num w:numId="52">
    <w:abstractNumId w:val="5"/>
  </w:num>
  <w:num w:numId="53">
    <w:abstractNumId w:val="47"/>
  </w:num>
  <w:num w:numId="54">
    <w:abstractNumId w:val="42"/>
  </w:num>
  <w:num w:numId="55">
    <w:abstractNumId w:val="13"/>
  </w:num>
  <w:num w:numId="56">
    <w:abstractNumId w:val="57"/>
  </w:num>
  <w:num w:numId="57">
    <w:abstractNumId w:val="56"/>
  </w:num>
  <w:num w:numId="58">
    <w:abstractNumId w:val="22"/>
  </w:num>
  <w:num w:numId="59">
    <w:abstractNumId w:val="0"/>
  </w:num>
  <w:num w:numId="60">
    <w:abstractNumId w:val="39"/>
  </w:num>
  <w:num w:numId="61">
    <w:abstractNumId w:val="11"/>
  </w:num>
  <w:num w:numId="62">
    <w:abstractNumId w:val="31"/>
  </w:num>
  <w:num w:numId="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noPunctuationKerning w:val="1"/>
  <w:characterSpacingControl w:val="doNotCompress"/>
  <w:compat>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MwZWYxZmExZDk2Y2ZjNTc0YzI3ZjU3MzQ3MmUzOTIifQ=="/>
    <w:docVar w:name="KSO_WPS_MARK_KEY" w:val="ef9fe400-f47f-4ebd-bf0f-4af4f24c4f78"/>
  </w:docVars>
  <w:rsids>
    <w:rsidRoot w:val="001607E5"/>
    <w:rsid w:val="0000641F"/>
    <w:rsid w:val="00010550"/>
    <w:rsid w:val="000114EC"/>
    <w:rsid w:val="00032AFC"/>
    <w:rsid w:val="000400B5"/>
    <w:rsid w:val="00041F57"/>
    <w:rsid w:val="00055B15"/>
    <w:rsid w:val="000603A8"/>
    <w:rsid w:val="00072371"/>
    <w:rsid w:val="00077B10"/>
    <w:rsid w:val="0008213F"/>
    <w:rsid w:val="000939FB"/>
    <w:rsid w:val="000A3089"/>
    <w:rsid w:val="000A5DE6"/>
    <w:rsid w:val="000A61ED"/>
    <w:rsid w:val="000A6973"/>
    <w:rsid w:val="000C2BA5"/>
    <w:rsid w:val="000C4F86"/>
    <w:rsid w:val="000E0C2D"/>
    <w:rsid w:val="000F5611"/>
    <w:rsid w:val="00120A4B"/>
    <w:rsid w:val="00140B1D"/>
    <w:rsid w:val="00141BEC"/>
    <w:rsid w:val="001607E5"/>
    <w:rsid w:val="00160FD9"/>
    <w:rsid w:val="0016137E"/>
    <w:rsid w:val="001646F3"/>
    <w:rsid w:val="00165164"/>
    <w:rsid w:val="00193608"/>
    <w:rsid w:val="00195606"/>
    <w:rsid w:val="001A6483"/>
    <w:rsid w:val="001B4835"/>
    <w:rsid w:val="001D0594"/>
    <w:rsid w:val="001D65F4"/>
    <w:rsid w:val="001D7CE8"/>
    <w:rsid w:val="001E1C4B"/>
    <w:rsid w:val="001E28D6"/>
    <w:rsid w:val="001E28E2"/>
    <w:rsid w:val="001F1103"/>
    <w:rsid w:val="001F355D"/>
    <w:rsid w:val="00203B11"/>
    <w:rsid w:val="0021068C"/>
    <w:rsid w:val="00210AEA"/>
    <w:rsid w:val="002138E0"/>
    <w:rsid w:val="00217A63"/>
    <w:rsid w:val="002213ED"/>
    <w:rsid w:val="00221EF9"/>
    <w:rsid w:val="0022254C"/>
    <w:rsid w:val="00222A23"/>
    <w:rsid w:val="00227D4C"/>
    <w:rsid w:val="002302C2"/>
    <w:rsid w:val="00234822"/>
    <w:rsid w:val="002469C2"/>
    <w:rsid w:val="00252218"/>
    <w:rsid w:val="00253E4C"/>
    <w:rsid w:val="00266824"/>
    <w:rsid w:val="0026714F"/>
    <w:rsid w:val="00270DD7"/>
    <w:rsid w:val="00271038"/>
    <w:rsid w:val="00273426"/>
    <w:rsid w:val="00284A70"/>
    <w:rsid w:val="00285085"/>
    <w:rsid w:val="0028542D"/>
    <w:rsid w:val="002A1655"/>
    <w:rsid w:val="002A2707"/>
    <w:rsid w:val="002A3A54"/>
    <w:rsid w:val="002A461B"/>
    <w:rsid w:val="002D20E2"/>
    <w:rsid w:val="002D223F"/>
    <w:rsid w:val="002D6BFF"/>
    <w:rsid w:val="002D7D8E"/>
    <w:rsid w:val="002E05B3"/>
    <w:rsid w:val="002F2520"/>
    <w:rsid w:val="002F2FEE"/>
    <w:rsid w:val="00300310"/>
    <w:rsid w:val="0030132B"/>
    <w:rsid w:val="00301983"/>
    <w:rsid w:val="0030478B"/>
    <w:rsid w:val="00304B99"/>
    <w:rsid w:val="00307A95"/>
    <w:rsid w:val="0031316D"/>
    <w:rsid w:val="00313589"/>
    <w:rsid w:val="003269B7"/>
    <w:rsid w:val="003345C0"/>
    <w:rsid w:val="003367C4"/>
    <w:rsid w:val="00337CC0"/>
    <w:rsid w:val="00341E4E"/>
    <w:rsid w:val="00346C93"/>
    <w:rsid w:val="003567D1"/>
    <w:rsid w:val="00361D2E"/>
    <w:rsid w:val="00365F93"/>
    <w:rsid w:val="0039013E"/>
    <w:rsid w:val="00395A8A"/>
    <w:rsid w:val="003A766D"/>
    <w:rsid w:val="003B7A90"/>
    <w:rsid w:val="003D0883"/>
    <w:rsid w:val="003D2072"/>
    <w:rsid w:val="003D59C2"/>
    <w:rsid w:val="003F1D7D"/>
    <w:rsid w:val="0040250A"/>
    <w:rsid w:val="00411A2A"/>
    <w:rsid w:val="00421CCE"/>
    <w:rsid w:val="00423B77"/>
    <w:rsid w:val="00425CED"/>
    <w:rsid w:val="004526E8"/>
    <w:rsid w:val="00464986"/>
    <w:rsid w:val="00465C30"/>
    <w:rsid w:val="00473E69"/>
    <w:rsid w:val="00477FD9"/>
    <w:rsid w:val="00484E24"/>
    <w:rsid w:val="004A2C5E"/>
    <w:rsid w:val="004A5AF1"/>
    <w:rsid w:val="004A68BE"/>
    <w:rsid w:val="004B035C"/>
    <w:rsid w:val="004B4FB8"/>
    <w:rsid w:val="004B6B53"/>
    <w:rsid w:val="004C50E0"/>
    <w:rsid w:val="004E1FCA"/>
    <w:rsid w:val="004E4EF1"/>
    <w:rsid w:val="004E7292"/>
    <w:rsid w:val="004F11AB"/>
    <w:rsid w:val="004F692A"/>
    <w:rsid w:val="00503F76"/>
    <w:rsid w:val="0051017F"/>
    <w:rsid w:val="005114F3"/>
    <w:rsid w:val="0051245A"/>
    <w:rsid w:val="00520001"/>
    <w:rsid w:val="005277EE"/>
    <w:rsid w:val="0053715F"/>
    <w:rsid w:val="00553C9B"/>
    <w:rsid w:val="00555045"/>
    <w:rsid w:val="0056521E"/>
    <w:rsid w:val="00573039"/>
    <w:rsid w:val="00581E47"/>
    <w:rsid w:val="00585734"/>
    <w:rsid w:val="005A379C"/>
    <w:rsid w:val="005A7CDA"/>
    <w:rsid w:val="005A7EB7"/>
    <w:rsid w:val="005A7EF9"/>
    <w:rsid w:val="005B2948"/>
    <w:rsid w:val="005B3758"/>
    <w:rsid w:val="005B5295"/>
    <w:rsid w:val="005B6EF6"/>
    <w:rsid w:val="005C5753"/>
    <w:rsid w:val="005C62CC"/>
    <w:rsid w:val="005C6410"/>
    <w:rsid w:val="005D3AD4"/>
    <w:rsid w:val="005D61B1"/>
    <w:rsid w:val="005D6EF2"/>
    <w:rsid w:val="005D7B60"/>
    <w:rsid w:val="005E4320"/>
    <w:rsid w:val="005F107E"/>
    <w:rsid w:val="00613016"/>
    <w:rsid w:val="006339E3"/>
    <w:rsid w:val="00636A37"/>
    <w:rsid w:val="0064295D"/>
    <w:rsid w:val="00662F68"/>
    <w:rsid w:val="00667126"/>
    <w:rsid w:val="00670EFA"/>
    <w:rsid w:val="00680EDD"/>
    <w:rsid w:val="0069039B"/>
    <w:rsid w:val="00691DCF"/>
    <w:rsid w:val="006A146B"/>
    <w:rsid w:val="006A66A9"/>
    <w:rsid w:val="006C4F85"/>
    <w:rsid w:val="006D41A7"/>
    <w:rsid w:val="006D79F2"/>
    <w:rsid w:val="006D7E45"/>
    <w:rsid w:val="006E0DF4"/>
    <w:rsid w:val="006E4E08"/>
    <w:rsid w:val="006F395E"/>
    <w:rsid w:val="00705CFF"/>
    <w:rsid w:val="0070603D"/>
    <w:rsid w:val="00710EF7"/>
    <w:rsid w:val="0073289E"/>
    <w:rsid w:val="00736626"/>
    <w:rsid w:val="00745D46"/>
    <w:rsid w:val="00751351"/>
    <w:rsid w:val="007530ED"/>
    <w:rsid w:val="00764880"/>
    <w:rsid w:val="0076676B"/>
    <w:rsid w:val="007745E1"/>
    <w:rsid w:val="00780E25"/>
    <w:rsid w:val="007862B4"/>
    <w:rsid w:val="00794443"/>
    <w:rsid w:val="00794A1C"/>
    <w:rsid w:val="00794F67"/>
    <w:rsid w:val="007A1BC7"/>
    <w:rsid w:val="007A3470"/>
    <w:rsid w:val="007A76D2"/>
    <w:rsid w:val="007B3277"/>
    <w:rsid w:val="007B7E2B"/>
    <w:rsid w:val="007C104D"/>
    <w:rsid w:val="007C7C89"/>
    <w:rsid w:val="007C7E0C"/>
    <w:rsid w:val="007D0D54"/>
    <w:rsid w:val="007E0FFC"/>
    <w:rsid w:val="007E3C98"/>
    <w:rsid w:val="007F3717"/>
    <w:rsid w:val="00813CC4"/>
    <w:rsid w:val="00815199"/>
    <w:rsid w:val="00825C7D"/>
    <w:rsid w:val="00830D14"/>
    <w:rsid w:val="00831674"/>
    <w:rsid w:val="00831BEC"/>
    <w:rsid w:val="0084180E"/>
    <w:rsid w:val="00842C4C"/>
    <w:rsid w:val="008537FF"/>
    <w:rsid w:val="00857996"/>
    <w:rsid w:val="008600B1"/>
    <w:rsid w:val="00871637"/>
    <w:rsid w:val="008750CF"/>
    <w:rsid w:val="00882C5C"/>
    <w:rsid w:val="0088428D"/>
    <w:rsid w:val="008B191D"/>
    <w:rsid w:val="008B57CF"/>
    <w:rsid w:val="008C5D36"/>
    <w:rsid w:val="008D2521"/>
    <w:rsid w:val="008E14D6"/>
    <w:rsid w:val="008E4C5D"/>
    <w:rsid w:val="008E7262"/>
    <w:rsid w:val="008F157A"/>
    <w:rsid w:val="008F15BA"/>
    <w:rsid w:val="00903A81"/>
    <w:rsid w:val="00921E54"/>
    <w:rsid w:val="00931F61"/>
    <w:rsid w:val="009378E7"/>
    <w:rsid w:val="009408C8"/>
    <w:rsid w:val="009465DD"/>
    <w:rsid w:val="009479A2"/>
    <w:rsid w:val="00973A28"/>
    <w:rsid w:val="009936D4"/>
    <w:rsid w:val="00995FCA"/>
    <w:rsid w:val="009A03A3"/>
    <w:rsid w:val="009A33F5"/>
    <w:rsid w:val="009A6545"/>
    <w:rsid w:val="009B597F"/>
    <w:rsid w:val="009B7079"/>
    <w:rsid w:val="009C48C8"/>
    <w:rsid w:val="009C5A38"/>
    <w:rsid w:val="009D2587"/>
    <w:rsid w:val="009D2D7C"/>
    <w:rsid w:val="009D4E0C"/>
    <w:rsid w:val="009D6207"/>
    <w:rsid w:val="009D7CCA"/>
    <w:rsid w:val="009F4E50"/>
    <w:rsid w:val="00A07524"/>
    <w:rsid w:val="00A14355"/>
    <w:rsid w:val="00A26B87"/>
    <w:rsid w:val="00A3056A"/>
    <w:rsid w:val="00A40800"/>
    <w:rsid w:val="00A422CB"/>
    <w:rsid w:val="00A45515"/>
    <w:rsid w:val="00A5032B"/>
    <w:rsid w:val="00A53229"/>
    <w:rsid w:val="00A628B2"/>
    <w:rsid w:val="00A62B46"/>
    <w:rsid w:val="00A67E2D"/>
    <w:rsid w:val="00A80CEF"/>
    <w:rsid w:val="00A84602"/>
    <w:rsid w:val="00A9334D"/>
    <w:rsid w:val="00AA3CA0"/>
    <w:rsid w:val="00AC74E8"/>
    <w:rsid w:val="00AC7581"/>
    <w:rsid w:val="00AD2769"/>
    <w:rsid w:val="00AD4178"/>
    <w:rsid w:val="00AE00DC"/>
    <w:rsid w:val="00B04449"/>
    <w:rsid w:val="00B05F94"/>
    <w:rsid w:val="00B1285D"/>
    <w:rsid w:val="00B13547"/>
    <w:rsid w:val="00B2311B"/>
    <w:rsid w:val="00B235A5"/>
    <w:rsid w:val="00B256C9"/>
    <w:rsid w:val="00B274DD"/>
    <w:rsid w:val="00B308BD"/>
    <w:rsid w:val="00B32CF6"/>
    <w:rsid w:val="00B33E55"/>
    <w:rsid w:val="00B346F0"/>
    <w:rsid w:val="00B37DED"/>
    <w:rsid w:val="00B47858"/>
    <w:rsid w:val="00B57769"/>
    <w:rsid w:val="00B57FFC"/>
    <w:rsid w:val="00B61499"/>
    <w:rsid w:val="00B630AF"/>
    <w:rsid w:val="00B73193"/>
    <w:rsid w:val="00B733C1"/>
    <w:rsid w:val="00B817F0"/>
    <w:rsid w:val="00B932B5"/>
    <w:rsid w:val="00B96B3B"/>
    <w:rsid w:val="00B97D58"/>
    <w:rsid w:val="00BA1051"/>
    <w:rsid w:val="00BA6126"/>
    <w:rsid w:val="00BA76DF"/>
    <w:rsid w:val="00BD0A88"/>
    <w:rsid w:val="00BE2A0F"/>
    <w:rsid w:val="00C018A8"/>
    <w:rsid w:val="00C055FA"/>
    <w:rsid w:val="00C113FA"/>
    <w:rsid w:val="00C30720"/>
    <w:rsid w:val="00C34208"/>
    <w:rsid w:val="00C377BA"/>
    <w:rsid w:val="00C55F6D"/>
    <w:rsid w:val="00C63349"/>
    <w:rsid w:val="00C674FF"/>
    <w:rsid w:val="00C71F96"/>
    <w:rsid w:val="00C752D4"/>
    <w:rsid w:val="00C9393E"/>
    <w:rsid w:val="00C954C2"/>
    <w:rsid w:val="00CB199D"/>
    <w:rsid w:val="00CC1675"/>
    <w:rsid w:val="00CC25B4"/>
    <w:rsid w:val="00CC3BA0"/>
    <w:rsid w:val="00CD635D"/>
    <w:rsid w:val="00CE3089"/>
    <w:rsid w:val="00CF13FB"/>
    <w:rsid w:val="00CF4A40"/>
    <w:rsid w:val="00D076F3"/>
    <w:rsid w:val="00D223FB"/>
    <w:rsid w:val="00D225D7"/>
    <w:rsid w:val="00D22F68"/>
    <w:rsid w:val="00D23E3C"/>
    <w:rsid w:val="00D242FD"/>
    <w:rsid w:val="00D40340"/>
    <w:rsid w:val="00D42DE8"/>
    <w:rsid w:val="00D47A7B"/>
    <w:rsid w:val="00D51672"/>
    <w:rsid w:val="00D54978"/>
    <w:rsid w:val="00D55695"/>
    <w:rsid w:val="00D56795"/>
    <w:rsid w:val="00D62C19"/>
    <w:rsid w:val="00D7063B"/>
    <w:rsid w:val="00D73674"/>
    <w:rsid w:val="00D82857"/>
    <w:rsid w:val="00D8640E"/>
    <w:rsid w:val="00D940AE"/>
    <w:rsid w:val="00D97143"/>
    <w:rsid w:val="00DA1657"/>
    <w:rsid w:val="00DA7D05"/>
    <w:rsid w:val="00DB0A08"/>
    <w:rsid w:val="00DB2D58"/>
    <w:rsid w:val="00DC6097"/>
    <w:rsid w:val="00DD44B4"/>
    <w:rsid w:val="00E007CD"/>
    <w:rsid w:val="00E00FE0"/>
    <w:rsid w:val="00E067E2"/>
    <w:rsid w:val="00E14F6D"/>
    <w:rsid w:val="00E15200"/>
    <w:rsid w:val="00E20604"/>
    <w:rsid w:val="00E2102F"/>
    <w:rsid w:val="00E32E7E"/>
    <w:rsid w:val="00E430F5"/>
    <w:rsid w:val="00E45BF0"/>
    <w:rsid w:val="00E516F5"/>
    <w:rsid w:val="00E5761D"/>
    <w:rsid w:val="00E62155"/>
    <w:rsid w:val="00E65A28"/>
    <w:rsid w:val="00E677D7"/>
    <w:rsid w:val="00E678A2"/>
    <w:rsid w:val="00E75B0C"/>
    <w:rsid w:val="00E807AE"/>
    <w:rsid w:val="00E839D7"/>
    <w:rsid w:val="00E85EB0"/>
    <w:rsid w:val="00E919E1"/>
    <w:rsid w:val="00E91B32"/>
    <w:rsid w:val="00E9364A"/>
    <w:rsid w:val="00EB2111"/>
    <w:rsid w:val="00EC7685"/>
    <w:rsid w:val="00ED420B"/>
    <w:rsid w:val="00ED4B05"/>
    <w:rsid w:val="00ED5683"/>
    <w:rsid w:val="00EE1746"/>
    <w:rsid w:val="00EF2007"/>
    <w:rsid w:val="00F05CD2"/>
    <w:rsid w:val="00F1154C"/>
    <w:rsid w:val="00F126E9"/>
    <w:rsid w:val="00F14CAE"/>
    <w:rsid w:val="00F17DC1"/>
    <w:rsid w:val="00F22C8D"/>
    <w:rsid w:val="00F23985"/>
    <w:rsid w:val="00F24E2C"/>
    <w:rsid w:val="00F31F12"/>
    <w:rsid w:val="00F352C0"/>
    <w:rsid w:val="00F364E1"/>
    <w:rsid w:val="00F37D84"/>
    <w:rsid w:val="00F410CF"/>
    <w:rsid w:val="00F6031B"/>
    <w:rsid w:val="00F675BD"/>
    <w:rsid w:val="00F94E49"/>
    <w:rsid w:val="00FA066C"/>
    <w:rsid w:val="00FA08FD"/>
    <w:rsid w:val="00FD12B6"/>
    <w:rsid w:val="00FD349D"/>
    <w:rsid w:val="00FD3539"/>
    <w:rsid w:val="00FE456B"/>
    <w:rsid w:val="00FF0514"/>
    <w:rsid w:val="00FF3C15"/>
    <w:rsid w:val="00FF70FB"/>
    <w:rsid w:val="00FF7ADF"/>
    <w:rsid w:val="012B64AF"/>
    <w:rsid w:val="01763BCE"/>
    <w:rsid w:val="018308D6"/>
    <w:rsid w:val="01933CA1"/>
    <w:rsid w:val="01933E55"/>
    <w:rsid w:val="01BF6469"/>
    <w:rsid w:val="02385327"/>
    <w:rsid w:val="025F09F0"/>
    <w:rsid w:val="027C6AB9"/>
    <w:rsid w:val="02DF21EF"/>
    <w:rsid w:val="037417FA"/>
    <w:rsid w:val="03CF4E8C"/>
    <w:rsid w:val="04201EC7"/>
    <w:rsid w:val="045046FF"/>
    <w:rsid w:val="04710297"/>
    <w:rsid w:val="047E36A9"/>
    <w:rsid w:val="047F24B6"/>
    <w:rsid w:val="048A5A25"/>
    <w:rsid w:val="05087233"/>
    <w:rsid w:val="057069E3"/>
    <w:rsid w:val="05BD34C0"/>
    <w:rsid w:val="05C24EA4"/>
    <w:rsid w:val="05CB3586"/>
    <w:rsid w:val="060D10D2"/>
    <w:rsid w:val="060F7A29"/>
    <w:rsid w:val="06183016"/>
    <w:rsid w:val="066C72D7"/>
    <w:rsid w:val="06B83FCF"/>
    <w:rsid w:val="070D3E84"/>
    <w:rsid w:val="0727545E"/>
    <w:rsid w:val="07B05DAE"/>
    <w:rsid w:val="07CE5C8D"/>
    <w:rsid w:val="07D23954"/>
    <w:rsid w:val="07EF7321"/>
    <w:rsid w:val="080539AF"/>
    <w:rsid w:val="085A6539"/>
    <w:rsid w:val="08602EE2"/>
    <w:rsid w:val="08624EAC"/>
    <w:rsid w:val="086A2D1A"/>
    <w:rsid w:val="08823813"/>
    <w:rsid w:val="08A40BE4"/>
    <w:rsid w:val="08B07D72"/>
    <w:rsid w:val="08F57ACE"/>
    <w:rsid w:val="090E36BE"/>
    <w:rsid w:val="091D123B"/>
    <w:rsid w:val="0949606C"/>
    <w:rsid w:val="09684681"/>
    <w:rsid w:val="096B4234"/>
    <w:rsid w:val="098053F7"/>
    <w:rsid w:val="09865C52"/>
    <w:rsid w:val="09C930AF"/>
    <w:rsid w:val="0A1318AA"/>
    <w:rsid w:val="0A1554BB"/>
    <w:rsid w:val="0A170B9C"/>
    <w:rsid w:val="0A1D4625"/>
    <w:rsid w:val="0A702F25"/>
    <w:rsid w:val="0A9F4195"/>
    <w:rsid w:val="0B0D419A"/>
    <w:rsid w:val="0B0F20FA"/>
    <w:rsid w:val="0BAA1044"/>
    <w:rsid w:val="0BF16C73"/>
    <w:rsid w:val="0BF63215"/>
    <w:rsid w:val="0C06116B"/>
    <w:rsid w:val="0C9534E4"/>
    <w:rsid w:val="0CAD1F59"/>
    <w:rsid w:val="0CB1622C"/>
    <w:rsid w:val="0CCD71E3"/>
    <w:rsid w:val="0D204150"/>
    <w:rsid w:val="0D423B69"/>
    <w:rsid w:val="0D4B59D5"/>
    <w:rsid w:val="0DC64FDA"/>
    <w:rsid w:val="0DFA7935"/>
    <w:rsid w:val="0E3270D5"/>
    <w:rsid w:val="0E5626EA"/>
    <w:rsid w:val="0E5A28FE"/>
    <w:rsid w:val="0EC30A44"/>
    <w:rsid w:val="0EE92F84"/>
    <w:rsid w:val="0EF724FD"/>
    <w:rsid w:val="0EF9321E"/>
    <w:rsid w:val="0EFA6269"/>
    <w:rsid w:val="0F5C645D"/>
    <w:rsid w:val="0F944C2D"/>
    <w:rsid w:val="0FE50224"/>
    <w:rsid w:val="1015640E"/>
    <w:rsid w:val="105B0B5E"/>
    <w:rsid w:val="10772246"/>
    <w:rsid w:val="10AF23A2"/>
    <w:rsid w:val="10E904CB"/>
    <w:rsid w:val="10F1530D"/>
    <w:rsid w:val="1101240C"/>
    <w:rsid w:val="112E6C64"/>
    <w:rsid w:val="11755E44"/>
    <w:rsid w:val="11825654"/>
    <w:rsid w:val="119D6FA6"/>
    <w:rsid w:val="11ED31A7"/>
    <w:rsid w:val="12210087"/>
    <w:rsid w:val="1222375D"/>
    <w:rsid w:val="124A36D5"/>
    <w:rsid w:val="126B7053"/>
    <w:rsid w:val="12721277"/>
    <w:rsid w:val="12A83E03"/>
    <w:rsid w:val="12B979DD"/>
    <w:rsid w:val="12E75622"/>
    <w:rsid w:val="130726B9"/>
    <w:rsid w:val="13166FBF"/>
    <w:rsid w:val="134358DA"/>
    <w:rsid w:val="1345230E"/>
    <w:rsid w:val="13544F51"/>
    <w:rsid w:val="13B8520A"/>
    <w:rsid w:val="141E6E0D"/>
    <w:rsid w:val="14203E74"/>
    <w:rsid w:val="145D29CB"/>
    <w:rsid w:val="14BF7D76"/>
    <w:rsid w:val="15365ECB"/>
    <w:rsid w:val="155838BF"/>
    <w:rsid w:val="15B33C35"/>
    <w:rsid w:val="15F37CFD"/>
    <w:rsid w:val="160A26DF"/>
    <w:rsid w:val="16924E29"/>
    <w:rsid w:val="17163A31"/>
    <w:rsid w:val="1720639D"/>
    <w:rsid w:val="177B5642"/>
    <w:rsid w:val="17B15A1B"/>
    <w:rsid w:val="18056F1E"/>
    <w:rsid w:val="184862DB"/>
    <w:rsid w:val="18691919"/>
    <w:rsid w:val="18754787"/>
    <w:rsid w:val="18824714"/>
    <w:rsid w:val="18876269"/>
    <w:rsid w:val="18AE6841"/>
    <w:rsid w:val="18E207D1"/>
    <w:rsid w:val="18E611E1"/>
    <w:rsid w:val="19063631"/>
    <w:rsid w:val="19230A2E"/>
    <w:rsid w:val="193957B5"/>
    <w:rsid w:val="1951749F"/>
    <w:rsid w:val="1959610D"/>
    <w:rsid w:val="1986503B"/>
    <w:rsid w:val="198A7DBF"/>
    <w:rsid w:val="19933EEE"/>
    <w:rsid w:val="1998697F"/>
    <w:rsid w:val="199F538F"/>
    <w:rsid w:val="19CB13F6"/>
    <w:rsid w:val="19E55985"/>
    <w:rsid w:val="19F85670"/>
    <w:rsid w:val="19FE17EA"/>
    <w:rsid w:val="1A0836F9"/>
    <w:rsid w:val="1A4426FE"/>
    <w:rsid w:val="1A5852A5"/>
    <w:rsid w:val="1A6C60CD"/>
    <w:rsid w:val="1A875FC6"/>
    <w:rsid w:val="1B1875CE"/>
    <w:rsid w:val="1B835B95"/>
    <w:rsid w:val="1BA842D2"/>
    <w:rsid w:val="1BC7354C"/>
    <w:rsid w:val="1BCD48DA"/>
    <w:rsid w:val="1C844F99"/>
    <w:rsid w:val="1C8E057A"/>
    <w:rsid w:val="1CA11867"/>
    <w:rsid w:val="1CB87339"/>
    <w:rsid w:val="1CBA19FF"/>
    <w:rsid w:val="1CC41839"/>
    <w:rsid w:val="1CDF6673"/>
    <w:rsid w:val="1D2422D8"/>
    <w:rsid w:val="1D2B7B0B"/>
    <w:rsid w:val="1D7F5DED"/>
    <w:rsid w:val="1D804E1C"/>
    <w:rsid w:val="1D88230D"/>
    <w:rsid w:val="1DD91315"/>
    <w:rsid w:val="1E036392"/>
    <w:rsid w:val="1E642B97"/>
    <w:rsid w:val="1E65704C"/>
    <w:rsid w:val="1EF63F47"/>
    <w:rsid w:val="1EFF2FFD"/>
    <w:rsid w:val="1F1C595D"/>
    <w:rsid w:val="1F484BC1"/>
    <w:rsid w:val="1F497AE1"/>
    <w:rsid w:val="1F951903"/>
    <w:rsid w:val="1F9F17AB"/>
    <w:rsid w:val="1FE65F6B"/>
    <w:rsid w:val="200636BC"/>
    <w:rsid w:val="200A1DD2"/>
    <w:rsid w:val="207417C9"/>
    <w:rsid w:val="207E43F5"/>
    <w:rsid w:val="209D066C"/>
    <w:rsid w:val="209D7852"/>
    <w:rsid w:val="20C067BC"/>
    <w:rsid w:val="21244F9D"/>
    <w:rsid w:val="21A63602"/>
    <w:rsid w:val="21AF7EF2"/>
    <w:rsid w:val="21C30CB0"/>
    <w:rsid w:val="21D104C4"/>
    <w:rsid w:val="21E6112F"/>
    <w:rsid w:val="21FE759C"/>
    <w:rsid w:val="22017635"/>
    <w:rsid w:val="222334A6"/>
    <w:rsid w:val="222B5EB7"/>
    <w:rsid w:val="229D231D"/>
    <w:rsid w:val="23325476"/>
    <w:rsid w:val="234014DA"/>
    <w:rsid w:val="235E3DED"/>
    <w:rsid w:val="23A41AA9"/>
    <w:rsid w:val="240B41F2"/>
    <w:rsid w:val="241E2177"/>
    <w:rsid w:val="24207C9D"/>
    <w:rsid w:val="2445396E"/>
    <w:rsid w:val="245F0E29"/>
    <w:rsid w:val="247D6DFF"/>
    <w:rsid w:val="24AA6C94"/>
    <w:rsid w:val="24B1238A"/>
    <w:rsid w:val="24EB4A9F"/>
    <w:rsid w:val="24F829C8"/>
    <w:rsid w:val="2557368E"/>
    <w:rsid w:val="25643BBA"/>
    <w:rsid w:val="25C909A2"/>
    <w:rsid w:val="25FE6C33"/>
    <w:rsid w:val="26203303"/>
    <w:rsid w:val="26965FB7"/>
    <w:rsid w:val="26B03760"/>
    <w:rsid w:val="26E33204"/>
    <w:rsid w:val="2772402F"/>
    <w:rsid w:val="277D5617"/>
    <w:rsid w:val="27DE4458"/>
    <w:rsid w:val="27E9484A"/>
    <w:rsid w:val="28043921"/>
    <w:rsid w:val="28395E4A"/>
    <w:rsid w:val="283F5126"/>
    <w:rsid w:val="287C746C"/>
    <w:rsid w:val="288844C9"/>
    <w:rsid w:val="28920A3E"/>
    <w:rsid w:val="28B53499"/>
    <w:rsid w:val="28BA7F95"/>
    <w:rsid w:val="28CC0E2E"/>
    <w:rsid w:val="291B6C85"/>
    <w:rsid w:val="293B10D5"/>
    <w:rsid w:val="293E6CA2"/>
    <w:rsid w:val="294845B6"/>
    <w:rsid w:val="29682A9C"/>
    <w:rsid w:val="29821C12"/>
    <w:rsid w:val="29945580"/>
    <w:rsid w:val="29FD7462"/>
    <w:rsid w:val="2A337FFE"/>
    <w:rsid w:val="2A376427"/>
    <w:rsid w:val="2A790107"/>
    <w:rsid w:val="2ADB491E"/>
    <w:rsid w:val="2AFF47D4"/>
    <w:rsid w:val="2B1E2A5D"/>
    <w:rsid w:val="2B2140BD"/>
    <w:rsid w:val="2B3A290E"/>
    <w:rsid w:val="2B67736B"/>
    <w:rsid w:val="2B6B7DD7"/>
    <w:rsid w:val="2B797C93"/>
    <w:rsid w:val="2B867186"/>
    <w:rsid w:val="2B92485A"/>
    <w:rsid w:val="2B9C1C62"/>
    <w:rsid w:val="2BDB3C20"/>
    <w:rsid w:val="2BFA5278"/>
    <w:rsid w:val="2BFF27DA"/>
    <w:rsid w:val="2C312C91"/>
    <w:rsid w:val="2C4C35F9"/>
    <w:rsid w:val="2C982F5A"/>
    <w:rsid w:val="2C9C5F17"/>
    <w:rsid w:val="2C9E0A15"/>
    <w:rsid w:val="2CA040B5"/>
    <w:rsid w:val="2CAF6062"/>
    <w:rsid w:val="2D003340"/>
    <w:rsid w:val="2D232094"/>
    <w:rsid w:val="2D320A41"/>
    <w:rsid w:val="2D432096"/>
    <w:rsid w:val="2D900EBE"/>
    <w:rsid w:val="2DB27BB8"/>
    <w:rsid w:val="2DBE0EDA"/>
    <w:rsid w:val="2DE31D62"/>
    <w:rsid w:val="2E016E80"/>
    <w:rsid w:val="2E075A2A"/>
    <w:rsid w:val="2E165C6D"/>
    <w:rsid w:val="2E41718E"/>
    <w:rsid w:val="2E633990"/>
    <w:rsid w:val="2ECA3E2D"/>
    <w:rsid w:val="2EDD678B"/>
    <w:rsid w:val="2EEC39D8"/>
    <w:rsid w:val="2EED10C4"/>
    <w:rsid w:val="2F057E2F"/>
    <w:rsid w:val="2F3321FA"/>
    <w:rsid w:val="2F441FAD"/>
    <w:rsid w:val="2F544C9F"/>
    <w:rsid w:val="2F751905"/>
    <w:rsid w:val="2F78756F"/>
    <w:rsid w:val="2FD951A4"/>
    <w:rsid w:val="2FFB046F"/>
    <w:rsid w:val="304B06CD"/>
    <w:rsid w:val="3052124B"/>
    <w:rsid w:val="305A25CD"/>
    <w:rsid w:val="305B2CCE"/>
    <w:rsid w:val="309E0B21"/>
    <w:rsid w:val="30AD0B0B"/>
    <w:rsid w:val="30B8216E"/>
    <w:rsid w:val="30D56E57"/>
    <w:rsid w:val="31B00187"/>
    <w:rsid w:val="31FC517A"/>
    <w:rsid w:val="326A4276"/>
    <w:rsid w:val="32A61CB5"/>
    <w:rsid w:val="32CC0FF0"/>
    <w:rsid w:val="32D36F23"/>
    <w:rsid w:val="33087F73"/>
    <w:rsid w:val="33091D56"/>
    <w:rsid w:val="331D184C"/>
    <w:rsid w:val="33637328"/>
    <w:rsid w:val="336A5B1D"/>
    <w:rsid w:val="338F44F8"/>
    <w:rsid w:val="339C4E66"/>
    <w:rsid w:val="33B201E6"/>
    <w:rsid w:val="33B43DDA"/>
    <w:rsid w:val="33D40920"/>
    <w:rsid w:val="33DC1003"/>
    <w:rsid w:val="33DC34B5"/>
    <w:rsid w:val="34017A8A"/>
    <w:rsid w:val="34CF64F6"/>
    <w:rsid w:val="350B7DFE"/>
    <w:rsid w:val="35B31E52"/>
    <w:rsid w:val="35CD57AB"/>
    <w:rsid w:val="35ED3757"/>
    <w:rsid w:val="366E7160"/>
    <w:rsid w:val="36721EAF"/>
    <w:rsid w:val="367A15B2"/>
    <w:rsid w:val="368368DF"/>
    <w:rsid w:val="36B24E78"/>
    <w:rsid w:val="36D16ED2"/>
    <w:rsid w:val="36EA513D"/>
    <w:rsid w:val="36F01751"/>
    <w:rsid w:val="37315AF4"/>
    <w:rsid w:val="373A0C1E"/>
    <w:rsid w:val="373E569D"/>
    <w:rsid w:val="3768058B"/>
    <w:rsid w:val="37C64260"/>
    <w:rsid w:val="37E361C3"/>
    <w:rsid w:val="37FA7A6D"/>
    <w:rsid w:val="38190834"/>
    <w:rsid w:val="38496D6C"/>
    <w:rsid w:val="385F1E89"/>
    <w:rsid w:val="38806B33"/>
    <w:rsid w:val="388D1222"/>
    <w:rsid w:val="3892621E"/>
    <w:rsid w:val="38B663C8"/>
    <w:rsid w:val="38C157B9"/>
    <w:rsid w:val="38C904AC"/>
    <w:rsid w:val="38CA2129"/>
    <w:rsid w:val="38E05B90"/>
    <w:rsid w:val="39035521"/>
    <w:rsid w:val="393C40CF"/>
    <w:rsid w:val="39E236BA"/>
    <w:rsid w:val="39E633D8"/>
    <w:rsid w:val="3A1D123D"/>
    <w:rsid w:val="3A29497C"/>
    <w:rsid w:val="3A744447"/>
    <w:rsid w:val="3AA30888"/>
    <w:rsid w:val="3ADD5E57"/>
    <w:rsid w:val="3AFB3576"/>
    <w:rsid w:val="3B715FBA"/>
    <w:rsid w:val="3B966832"/>
    <w:rsid w:val="3B9A162F"/>
    <w:rsid w:val="3BC44F5A"/>
    <w:rsid w:val="3BD74CEB"/>
    <w:rsid w:val="3BED091B"/>
    <w:rsid w:val="3C531561"/>
    <w:rsid w:val="3C60699C"/>
    <w:rsid w:val="3C806563"/>
    <w:rsid w:val="3CF60458"/>
    <w:rsid w:val="3D042809"/>
    <w:rsid w:val="3D9B2810"/>
    <w:rsid w:val="3E0C2BE9"/>
    <w:rsid w:val="3E8743FE"/>
    <w:rsid w:val="3EA17748"/>
    <w:rsid w:val="3EBE2135"/>
    <w:rsid w:val="3F161F71"/>
    <w:rsid w:val="3F992808"/>
    <w:rsid w:val="3FB83028"/>
    <w:rsid w:val="3FBE048B"/>
    <w:rsid w:val="3FEB6F5A"/>
    <w:rsid w:val="40602C8E"/>
    <w:rsid w:val="4067627C"/>
    <w:rsid w:val="409265EE"/>
    <w:rsid w:val="41142E48"/>
    <w:rsid w:val="415218E2"/>
    <w:rsid w:val="417D52E2"/>
    <w:rsid w:val="41983619"/>
    <w:rsid w:val="41B67E09"/>
    <w:rsid w:val="41C9151C"/>
    <w:rsid w:val="41F221ED"/>
    <w:rsid w:val="41F82970"/>
    <w:rsid w:val="42337F02"/>
    <w:rsid w:val="425E2F32"/>
    <w:rsid w:val="42BD19BD"/>
    <w:rsid w:val="42F205FF"/>
    <w:rsid w:val="431C742A"/>
    <w:rsid w:val="435968D0"/>
    <w:rsid w:val="43CA5267"/>
    <w:rsid w:val="440832CD"/>
    <w:rsid w:val="444F53BD"/>
    <w:rsid w:val="44737C99"/>
    <w:rsid w:val="44E95A32"/>
    <w:rsid w:val="44ED5664"/>
    <w:rsid w:val="44F22CFD"/>
    <w:rsid w:val="44F364BA"/>
    <w:rsid w:val="44F550BD"/>
    <w:rsid w:val="452242CE"/>
    <w:rsid w:val="45437BF3"/>
    <w:rsid w:val="456A6701"/>
    <w:rsid w:val="45A1630C"/>
    <w:rsid w:val="45A55DFD"/>
    <w:rsid w:val="45A85142"/>
    <w:rsid w:val="45C60EA8"/>
    <w:rsid w:val="45D64208"/>
    <w:rsid w:val="45D756FD"/>
    <w:rsid w:val="45F24ED8"/>
    <w:rsid w:val="46275962"/>
    <w:rsid w:val="468772B0"/>
    <w:rsid w:val="46DA15C8"/>
    <w:rsid w:val="46E4575A"/>
    <w:rsid w:val="473A796F"/>
    <w:rsid w:val="47726C6E"/>
    <w:rsid w:val="4789176B"/>
    <w:rsid w:val="481D7ECC"/>
    <w:rsid w:val="48453A87"/>
    <w:rsid w:val="48616533"/>
    <w:rsid w:val="486C49B0"/>
    <w:rsid w:val="489610DE"/>
    <w:rsid w:val="48E73DE4"/>
    <w:rsid w:val="48E7672C"/>
    <w:rsid w:val="49406632"/>
    <w:rsid w:val="49423962"/>
    <w:rsid w:val="494476DB"/>
    <w:rsid w:val="496F29A9"/>
    <w:rsid w:val="49A454A8"/>
    <w:rsid w:val="49B22A94"/>
    <w:rsid w:val="49BC0661"/>
    <w:rsid w:val="49BD157A"/>
    <w:rsid w:val="49BF63F4"/>
    <w:rsid w:val="49C66341"/>
    <w:rsid w:val="49E55F8D"/>
    <w:rsid w:val="49EE386C"/>
    <w:rsid w:val="4A383DFB"/>
    <w:rsid w:val="4A5F2581"/>
    <w:rsid w:val="4A8E3303"/>
    <w:rsid w:val="4AA743C5"/>
    <w:rsid w:val="4ABD14F2"/>
    <w:rsid w:val="4AD52586"/>
    <w:rsid w:val="4AD777A4"/>
    <w:rsid w:val="4AF34F14"/>
    <w:rsid w:val="4B1E03E7"/>
    <w:rsid w:val="4B30329B"/>
    <w:rsid w:val="4B920494"/>
    <w:rsid w:val="4BA95F1B"/>
    <w:rsid w:val="4BD9754E"/>
    <w:rsid w:val="4BE920DE"/>
    <w:rsid w:val="4C054A64"/>
    <w:rsid w:val="4C472813"/>
    <w:rsid w:val="4C4C4730"/>
    <w:rsid w:val="4C537145"/>
    <w:rsid w:val="4C583205"/>
    <w:rsid w:val="4C6D6F48"/>
    <w:rsid w:val="4C6E642C"/>
    <w:rsid w:val="4C9E1252"/>
    <w:rsid w:val="4CD644AB"/>
    <w:rsid w:val="4D1A109E"/>
    <w:rsid w:val="4D371A30"/>
    <w:rsid w:val="4D3B5C7F"/>
    <w:rsid w:val="4D433D09"/>
    <w:rsid w:val="4D4661EC"/>
    <w:rsid w:val="4D6E12B4"/>
    <w:rsid w:val="4D8602C2"/>
    <w:rsid w:val="4DA30E74"/>
    <w:rsid w:val="4DD74EB3"/>
    <w:rsid w:val="4DF25C03"/>
    <w:rsid w:val="4E0C23A2"/>
    <w:rsid w:val="4E6B1D10"/>
    <w:rsid w:val="4E72649A"/>
    <w:rsid w:val="4E8D43B9"/>
    <w:rsid w:val="4E922C96"/>
    <w:rsid w:val="4E934692"/>
    <w:rsid w:val="4EA053B3"/>
    <w:rsid w:val="4EC77780"/>
    <w:rsid w:val="4ECE08EE"/>
    <w:rsid w:val="4EF3271A"/>
    <w:rsid w:val="4F18319B"/>
    <w:rsid w:val="4F4576F9"/>
    <w:rsid w:val="4F824A56"/>
    <w:rsid w:val="4F8A257E"/>
    <w:rsid w:val="4FA94B75"/>
    <w:rsid w:val="4FB02EF2"/>
    <w:rsid w:val="4FD55530"/>
    <w:rsid w:val="50000343"/>
    <w:rsid w:val="504656BE"/>
    <w:rsid w:val="50AF3052"/>
    <w:rsid w:val="50B667D3"/>
    <w:rsid w:val="50D852D8"/>
    <w:rsid w:val="511B709E"/>
    <w:rsid w:val="512E27E4"/>
    <w:rsid w:val="51474A47"/>
    <w:rsid w:val="5167126F"/>
    <w:rsid w:val="51922560"/>
    <w:rsid w:val="51E11D57"/>
    <w:rsid w:val="52562E9B"/>
    <w:rsid w:val="52C84ED8"/>
    <w:rsid w:val="5314255F"/>
    <w:rsid w:val="53402E60"/>
    <w:rsid w:val="535029F5"/>
    <w:rsid w:val="536F0303"/>
    <w:rsid w:val="53733096"/>
    <w:rsid w:val="53B943FD"/>
    <w:rsid w:val="53C15FC4"/>
    <w:rsid w:val="53EE716F"/>
    <w:rsid w:val="5402266C"/>
    <w:rsid w:val="542C77C3"/>
    <w:rsid w:val="543547EF"/>
    <w:rsid w:val="543842E0"/>
    <w:rsid w:val="5479292E"/>
    <w:rsid w:val="54803E83"/>
    <w:rsid w:val="54A67309"/>
    <w:rsid w:val="54BD290E"/>
    <w:rsid w:val="54CB3AD8"/>
    <w:rsid w:val="54CF6057"/>
    <w:rsid w:val="54FD693D"/>
    <w:rsid w:val="556C6EE8"/>
    <w:rsid w:val="558E5275"/>
    <w:rsid w:val="55EA433F"/>
    <w:rsid w:val="563228AA"/>
    <w:rsid w:val="563B3C13"/>
    <w:rsid w:val="56445F16"/>
    <w:rsid w:val="567C046F"/>
    <w:rsid w:val="56BA722E"/>
    <w:rsid w:val="56BE6D1E"/>
    <w:rsid w:val="56C43C09"/>
    <w:rsid w:val="56EA18C1"/>
    <w:rsid w:val="57106FCA"/>
    <w:rsid w:val="57A23F4A"/>
    <w:rsid w:val="57A46D66"/>
    <w:rsid w:val="57A70AC0"/>
    <w:rsid w:val="57B42F13"/>
    <w:rsid w:val="58070251"/>
    <w:rsid w:val="584C2108"/>
    <w:rsid w:val="5870229A"/>
    <w:rsid w:val="58827087"/>
    <w:rsid w:val="589E6E07"/>
    <w:rsid w:val="58BD5526"/>
    <w:rsid w:val="58F5454D"/>
    <w:rsid w:val="592D018B"/>
    <w:rsid w:val="5937422C"/>
    <w:rsid w:val="593C217C"/>
    <w:rsid w:val="59777044"/>
    <w:rsid w:val="599A2988"/>
    <w:rsid w:val="59B96895"/>
    <w:rsid w:val="59CC6E29"/>
    <w:rsid w:val="59E940B2"/>
    <w:rsid w:val="5A253D2B"/>
    <w:rsid w:val="5A544F5A"/>
    <w:rsid w:val="5A7B154E"/>
    <w:rsid w:val="5B7420A1"/>
    <w:rsid w:val="5B7F1DF1"/>
    <w:rsid w:val="5B85605C"/>
    <w:rsid w:val="5BCF7320"/>
    <w:rsid w:val="5BDE1EE0"/>
    <w:rsid w:val="5BF40C85"/>
    <w:rsid w:val="5C292E8C"/>
    <w:rsid w:val="5C433822"/>
    <w:rsid w:val="5C6D654F"/>
    <w:rsid w:val="5C6F779B"/>
    <w:rsid w:val="5C8D7611"/>
    <w:rsid w:val="5CA761D1"/>
    <w:rsid w:val="5CB807C5"/>
    <w:rsid w:val="5CD2438D"/>
    <w:rsid w:val="5CF54B1C"/>
    <w:rsid w:val="5CFF31EA"/>
    <w:rsid w:val="5D1834C1"/>
    <w:rsid w:val="5D24191A"/>
    <w:rsid w:val="5D627860"/>
    <w:rsid w:val="5D7A728A"/>
    <w:rsid w:val="5D87607F"/>
    <w:rsid w:val="5DB91881"/>
    <w:rsid w:val="5DC559D7"/>
    <w:rsid w:val="5DD34DDC"/>
    <w:rsid w:val="5DE0757A"/>
    <w:rsid w:val="5E007347"/>
    <w:rsid w:val="5E2B4AF7"/>
    <w:rsid w:val="5E394EDC"/>
    <w:rsid w:val="5E4F64AE"/>
    <w:rsid w:val="5E6301AB"/>
    <w:rsid w:val="5E6466ED"/>
    <w:rsid w:val="5E954808"/>
    <w:rsid w:val="5EB84053"/>
    <w:rsid w:val="5EC92704"/>
    <w:rsid w:val="5F4C3A48"/>
    <w:rsid w:val="5FB46595"/>
    <w:rsid w:val="5FDB3F6F"/>
    <w:rsid w:val="60373891"/>
    <w:rsid w:val="605303A5"/>
    <w:rsid w:val="60687CFB"/>
    <w:rsid w:val="60E11BB1"/>
    <w:rsid w:val="61042A88"/>
    <w:rsid w:val="613864C7"/>
    <w:rsid w:val="61614E76"/>
    <w:rsid w:val="61B677A6"/>
    <w:rsid w:val="61CA6D79"/>
    <w:rsid w:val="62451DF4"/>
    <w:rsid w:val="624D53FA"/>
    <w:rsid w:val="62A019CE"/>
    <w:rsid w:val="62A87FD2"/>
    <w:rsid w:val="62F92E8C"/>
    <w:rsid w:val="62FB4E56"/>
    <w:rsid w:val="63006F74"/>
    <w:rsid w:val="633A597E"/>
    <w:rsid w:val="63CA6D1A"/>
    <w:rsid w:val="63F024E1"/>
    <w:rsid w:val="64276A3B"/>
    <w:rsid w:val="64634A61"/>
    <w:rsid w:val="64702433"/>
    <w:rsid w:val="6497136C"/>
    <w:rsid w:val="64B31B16"/>
    <w:rsid w:val="64B65B88"/>
    <w:rsid w:val="64C45DE1"/>
    <w:rsid w:val="64D03589"/>
    <w:rsid w:val="6503330D"/>
    <w:rsid w:val="650E1412"/>
    <w:rsid w:val="652508EB"/>
    <w:rsid w:val="65420B1A"/>
    <w:rsid w:val="65817895"/>
    <w:rsid w:val="65B150A3"/>
    <w:rsid w:val="66123504"/>
    <w:rsid w:val="66486604"/>
    <w:rsid w:val="66552ACF"/>
    <w:rsid w:val="66565C34"/>
    <w:rsid w:val="6689194F"/>
    <w:rsid w:val="66996E60"/>
    <w:rsid w:val="66B2560C"/>
    <w:rsid w:val="66B47C77"/>
    <w:rsid w:val="66C93F6D"/>
    <w:rsid w:val="66D85285"/>
    <w:rsid w:val="66E17DAC"/>
    <w:rsid w:val="671F556E"/>
    <w:rsid w:val="676006C2"/>
    <w:rsid w:val="67E27EFB"/>
    <w:rsid w:val="67E934CF"/>
    <w:rsid w:val="686F7E78"/>
    <w:rsid w:val="69154ABB"/>
    <w:rsid w:val="697F233D"/>
    <w:rsid w:val="6A040A94"/>
    <w:rsid w:val="6A31115D"/>
    <w:rsid w:val="6A4D1EA3"/>
    <w:rsid w:val="6A8E3174"/>
    <w:rsid w:val="6A927A03"/>
    <w:rsid w:val="6AF503DD"/>
    <w:rsid w:val="6B3E1592"/>
    <w:rsid w:val="6B603B25"/>
    <w:rsid w:val="6B7457A6"/>
    <w:rsid w:val="6BE67C7C"/>
    <w:rsid w:val="6C4732EE"/>
    <w:rsid w:val="6C863145"/>
    <w:rsid w:val="6D0244F4"/>
    <w:rsid w:val="6D4F38B7"/>
    <w:rsid w:val="6D6F7FB5"/>
    <w:rsid w:val="6D836174"/>
    <w:rsid w:val="6D843BF1"/>
    <w:rsid w:val="6DA93E2C"/>
    <w:rsid w:val="6DF07576"/>
    <w:rsid w:val="6E2D0DB9"/>
    <w:rsid w:val="6E4344AA"/>
    <w:rsid w:val="6E477DFD"/>
    <w:rsid w:val="6EA45369"/>
    <w:rsid w:val="6EB44962"/>
    <w:rsid w:val="6F0A08FB"/>
    <w:rsid w:val="6F4C5C8E"/>
    <w:rsid w:val="6F7A7103"/>
    <w:rsid w:val="6FA26D85"/>
    <w:rsid w:val="6FB70357"/>
    <w:rsid w:val="6FDC61FC"/>
    <w:rsid w:val="6FFD220E"/>
    <w:rsid w:val="7009478C"/>
    <w:rsid w:val="701D01BA"/>
    <w:rsid w:val="70223A22"/>
    <w:rsid w:val="7023779A"/>
    <w:rsid w:val="70813A4D"/>
    <w:rsid w:val="70A703CB"/>
    <w:rsid w:val="70E33C39"/>
    <w:rsid w:val="710A57AD"/>
    <w:rsid w:val="713E2810"/>
    <w:rsid w:val="714B2030"/>
    <w:rsid w:val="714E1233"/>
    <w:rsid w:val="71834994"/>
    <w:rsid w:val="71A41A51"/>
    <w:rsid w:val="71CB3CB6"/>
    <w:rsid w:val="725718DB"/>
    <w:rsid w:val="725E2D0C"/>
    <w:rsid w:val="72624905"/>
    <w:rsid w:val="728C28C5"/>
    <w:rsid w:val="72AC4C7F"/>
    <w:rsid w:val="72C5133A"/>
    <w:rsid w:val="72D27981"/>
    <w:rsid w:val="732857F3"/>
    <w:rsid w:val="7348423A"/>
    <w:rsid w:val="7371347D"/>
    <w:rsid w:val="73C05867"/>
    <w:rsid w:val="73F9783D"/>
    <w:rsid w:val="740F250F"/>
    <w:rsid w:val="742B7ECE"/>
    <w:rsid w:val="742C30C1"/>
    <w:rsid w:val="74547A54"/>
    <w:rsid w:val="74591FEB"/>
    <w:rsid w:val="745E7518"/>
    <w:rsid w:val="748B4BCA"/>
    <w:rsid w:val="74CF1C9F"/>
    <w:rsid w:val="74E00EDF"/>
    <w:rsid w:val="74E7348C"/>
    <w:rsid w:val="74EB4D2A"/>
    <w:rsid w:val="75097CB6"/>
    <w:rsid w:val="7579082C"/>
    <w:rsid w:val="757C1E26"/>
    <w:rsid w:val="759C08E3"/>
    <w:rsid w:val="75B67C45"/>
    <w:rsid w:val="75CF430F"/>
    <w:rsid w:val="75EF25F8"/>
    <w:rsid w:val="75F2239C"/>
    <w:rsid w:val="76373B19"/>
    <w:rsid w:val="76597BBA"/>
    <w:rsid w:val="76650B0D"/>
    <w:rsid w:val="76951F17"/>
    <w:rsid w:val="76BD44A5"/>
    <w:rsid w:val="770152F0"/>
    <w:rsid w:val="77456248"/>
    <w:rsid w:val="777338E8"/>
    <w:rsid w:val="77CA69D9"/>
    <w:rsid w:val="77F21093"/>
    <w:rsid w:val="77FA652A"/>
    <w:rsid w:val="78283BA0"/>
    <w:rsid w:val="788E6CCB"/>
    <w:rsid w:val="78AD1182"/>
    <w:rsid w:val="78CF754F"/>
    <w:rsid w:val="78E57CE3"/>
    <w:rsid w:val="78EC4EA5"/>
    <w:rsid w:val="78FB362F"/>
    <w:rsid w:val="7904730A"/>
    <w:rsid w:val="790D55A6"/>
    <w:rsid w:val="79312F28"/>
    <w:rsid w:val="796E1A86"/>
    <w:rsid w:val="79863274"/>
    <w:rsid w:val="7987746E"/>
    <w:rsid w:val="79BF22E2"/>
    <w:rsid w:val="79C27097"/>
    <w:rsid w:val="79C45B4A"/>
    <w:rsid w:val="79DD6C0C"/>
    <w:rsid w:val="79FC2B89"/>
    <w:rsid w:val="7A094544"/>
    <w:rsid w:val="7A13262E"/>
    <w:rsid w:val="7A2E1215"/>
    <w:rsid w:val="7A592736"/>
    <w:rsid w:val="7AF24DEC"/>
    <w:rsid w:val="7AF81F4F"/>
    <w:rsid w:val="7B0004F2"/>
    <w:rsid w:val="7B1C3E77"/>
    <w:rsid w:val="7B842E89"/>
    <w:rsid w:val="7B8C08E9"/>
    <w:rsid w:val="7BA51879"/>
    <w:rsid w:val="7BD81D81"/>
    <w:rsid w:val="7C3B0127"/>
    <w:rsid w:val="7C4E74EC"/>
    <w:rsid w:val="7CCA44BD"/>
    <w:rsid w:val="7D1961AD"/>
    <w:rsid w:val="7D285296"/>
    <w:rsid w:val="7D3812BF"/>
    <w:rsid w:val="7D3927A9"/>
    <w:rsid w:val="7D553A71"/>
    <w:rsid w:val="7DA67B57"/>
    <w:rsid w:val="7E0D1B42"/>
    <w:rsid w:val="7E464D80"/>
    <w:rsid w:val="7E7C69F3"/>
    <w:rsid w:val="7E912651"/>
    <w:rsid w:val="7EAB48C4"/>
    <w:rsid w:val="7EB51837"/>
    <w:rsid w:val="7EDE320A"/>
    <w:rsid w:val="7F13473F"/>
    <w:rsid w:val="7F264BB1"/>
    <w:rsid w:val="7F5D1721"/>
    <w:rsid w:val="7FA507A0"/>
    <w:rsid w:val="7FA77AA0"/>
    <w:rsid w:val="7FD45D4F"/>
    <w:rsid w:val="7FEE39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8"/>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9"/>
    <w:qFormat/>
    <w:uiPriority w:val="0"/>
    <w:pPr>
      <w:spacing w:before="120" w:after="120" w:line="360" w:lineRule="auto"/>
      <w:outlineLvl w:val="1"/>
    </w:pPr>
    <w:rPr>
      <w:rFonts w:ascii="Times New Roman" w:hAnsi="Times New Roman"/>
      <w:b/>
      <w:sz w:val="24"/>
    </w:rPr>
  </w:style>
  <w:style w:type="paragraph" w:styleId="5">
    <w:name w:val="heading 3"/>
    <w:basedOn w:val="1"/>
    <w:next w:val="1"/>
    <w:link w:val="70"/>
    <w:qFormat/>
    <w:uiPriority w:val="0"/>
    <w:pPr>
      <w:spacing w:before="120" w:after="120" w:line="360" w:lineRule="auto"/>
      <w:outlineLvl w:val="2"/>
    </w:pPr>
    <w:rPr>
      <w:rFonts w:ascii="Times New Roman" w:hAnsi="Times New Roman"/>
      <w:b/>
      <w:sz w:val="24"/>
    </w:rPr>
  </w:style>
  <w:style w:type="paragraph" w:styleId="6">
    <w:name w:val="heading 4"/>
    <w:next w:val="1"/>
    <w:link w:val="71"/>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72"/>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73"/>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4"/>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5"/>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6"/>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278"/>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7"/>
    <w:unhideWhenUsed/>
    <w:qFormat/>
    <w:uiPriority w:val="99"/>
    <w:pPr>
      <w:jc w:val="left"/>
    </w:pPr>
  </w:style>
  <w:style w:type="paragraph" w:styleId="17">
    <w:name w:val="Body Text"/>
    <w:basedOn w:val="1"/>
    <w:link w:val="78"/>
    <w:qFormat/>
    <w:uiPriority w:val="99"/>
    <w:pPr>
      <w:spacing w:after="120" w:line="300" w:lineRule="auto"/>
      <w:ind w:firstLine="420" w:firstLineChars="200"/>
    </w:pPr>
    <w:rPr>
      <w:rFonts w:ascii="Times New Roman" w:hAnsi="Times New Roman"/>
      <w:sz w:val="24"/>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9"/>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80"/>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81"/>
    <w:unhideWhenUsed/>
    <w:qFormat/>
    <w:uiPriority w:val="99"/>
    <w:rPr>
      <w:sz w:val="20"/>
    </w:rPr>
  </w:style>
  <w:style w:type="paragraph" w:styleId="27">
    <w:name w:val="Balloon Text"/>
    <w:basedOn w:val="1"/>
    <w:link w:val="82"/>
    <w:unhideWhenUsed/>
    <w:qFormat/>
    <w:uiPriority w:val="99"/>
    <w:rPr>
      <w:sz w:val="18"/>
      <w:szCs w:val="18"/>
    </w:rPr>
  </w:style>
  <w:style w:type="paragraph" w:styleId="28">
    <w:name w:val="footer"/>
    <w:basedOn w:val="1"/>
    <w:link w:val="83"/>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4"/>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5"/>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6"/>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HTML Preformatted"/>
    <w:basedOn w:val="1"/>
    <w:link w:val="87"/>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0">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1">
    <w:name w:val="Title"/>
    <w:next w:val="1"/>
    <w:link w:val="88"/>
    <w:qFormat/>
    <w:uiPriority w:val="0"/>
    <w:pPr>
      <w:spacing w:line="360" w:lineRule="auto"/>
      <w:jc w:val="center"/>
    </w:pPr>
    <w:rPr>
      <w:rFonts w:ascii="Times New Roman" w:hAnsi="Times New Roman" w:eastAsia="黑体" w:cs="Times New Roman"/>
      <w:sz w:val="44"/>
      <w:lang w:val="en-US" w:eastAsia="zh-CN" w:bidi="ar-SA"/>
    </w:rPr>
  </w:style>
  <w:style w:type="paragraph" w:styleId="42">
    <w:name w:val="annotation subject"/>
    <w:basedOn w:val="16"/>
    <w:next w:val="16"/>
    <w:link w:val="89"/>
    <w:unhideWhenUsed/>
    <w:qFormat/>
    <w:uiPriority w:val="99"/>
    <w:rPr>
      <w:b/>
      <w:bCs/>
    </w:rPr>
  </w:style>
  <w:style w:type="paragraph" w:styleId="43">
    <w:name w:val="Body Text First Indent"/>
    <w:basedOn w:val="17"/>
    <w:link w:val="277"/>
    <w:unhideWhenUsed/>
    <w:qFormat/>
    <w:uiPriority w:val="0"/>
    <w:pPr>
      <w:spacing w:line="240" w:lineRule="auto"/>
      <w:ind w:firstLine="100" w:firstLineChars="100"/>
    </w:pPr>
    <w:rPr>
      <w:rFonts w:asciiTheme="minorHAnsi" w:hAnsiTheme="minorHAnsi" w:eastAsiaTheme="minorEastAsia" w:cstheme="minorBidi"/>
      <w:kern w:val="2"/>
      <w:sz w:val="21"/>
      <w:szCs w:val="24"/>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正文文本1"/>
    <w:basedOn w:val="1"/>
    <w:qFormat/>
    <w:uiPriority w:val="99"/>
    <w:rPr>
      <w:rFonts w:ascii="楷体_GB2312" w:hAnsi="Arial" w:eastAsia="楷体_GB2312"/>
      <w:sz w:val="28"/>
      <w:szCs w:val="20"/>
    </w:rPr>
  </w:style>
  <w:style w:type="paragraph" w:customStyle="1" w:styleId="61">
    <w:name w:val="BodyText1I2"/>
    <w:basedOn w:val="62"/>
    <w:next w:val="1"/>
    <w:autoRedefine/>
    <w:qFormat/>
    <w:uiPriority w:val="0"/>
    <w:pPr>
      <w:spacing w:line="360" w:lineRule="auto"/>
      <w:ind w:firstLine="0" w:firstLineChars="0"/>
      <w:jc w:val="center"/>
    </w:pPr>
    <w:rPr>
      <w:rFonts w:ascii="Calibri" w:hAnsi="Calibri"/>
      <w:b/>
      <w:bCs/>
    </w:rPr>
  </w:style>
  <w:style w:type="paragraph" w:customStyle="1" w:styleId="62">
    <w:name w:val="BodyTextIndent"/>
    <w:basedOn w:val="1"/>
    <w:next w:val="63"/>
    <w:autoRedefine/>
    <w:qFormat/>
    <w:uiPriority w:val="0"/>
    <w:pPr>
      <w:snapToGrid w:val="0"/>
      <w:spacing w:line="440" w:lineRule="exact"/>
      <w:ind w:firstLine="403" w:firstLineChars="192"/>
      <w:textAlignment w:val="baseline"/>
    </w:pPr>
    <w:rPr>
      <w:rFonts w:ascii="宋体" w:hAnsi="宋体"/>
    </w:rPr>
  </w:style>
  <w:style w:type="paragraph" w:customStyle="1" w:styleId="63">
    <w:name w:val="EnvelopeReturn"/>
    <w:basedOn w:val="1"/>
    <w:autoRedefine/>
    <w:qFormat/>
    <w:uiPriority w:val="0"/>
    <w:pPr>
      <w:snapToGrid w:val="0"/>
      <w:textAlignment w:val="baseline"/>
    </w:pPr>
    <w:rPr>
      <w:rFonts w:ascii="Arial" w:hAnsi="Arial"/>
    </w:rPr>
  </w:style>
  <w:style w:type="paragraph" w:customStyle="1" w:styleId="64">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5">
    <w:name w:val="一级条标题"/>
    <w:basedOn w:val="66"/>
    <w:next w:val="67"/>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6">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paragraph" w:customStyle="1" w:styleId="67">
    <w:name w:val="段"/>
    <w:basedOn w:val="1"/>
    <w:next w:val="1"/>
    <w:qFormat/>
    <w:uiPriority w:val="0"/>
    <w:pPr>
      <w:widowControl/>
      <w:ind w:firstLine="200"/>
    </w:pPr>
    <w:rPr>
      <w:rFonts w:hint="eastAsia" w:ascii="宋体"/>
      <w:szCs w:val="20"/>
    </w:rPr>
  </w:style>
  <w:style w:type="character" w:customStyle="1" w:styleId="68">
    <w:name w:val="标题 1 字符"/>
    <w:link w:val="2"/>
    <w:qFormat/>
    <w:uiPriority w:val="99"/>
    <w:rPr>
      <w:rFonts w:ascii="宋体" w:hAnsi="宋体" w:eastAsia="宋体" w:cs="Times New Roman"/>
      <w:b/>
      <w:bCs/>
      <w:sz w:val="14"/>
      <w:szCs w:val="14"/>
    </w:rPr>
  </w:style>
  <w:style w:type="character" w:customStyle="1" w:styleId="69">
    <w:name w:val="标题 2 字符"/>
    <w:link w:val="4"/>
    <w:qFormat/>
    <w:uiPriority w:val="0"/>
    <w:rPr>
      <w:rFonts w:ascii="Arial" w:hAnsi="Arial" w:eastAsia="黑体" w:cs="Arial"/>
      <w:b/>
      <w:bCs/>
      <w:sz w:val="32"/>
      <w:szCs w:val="32"/>
    </w:rPr>
  </w:style>
  <w:style w:type="character" w:customStyle="1" w:styleId="70">
    <w:name w:val="标题 3 字符"/>
    <w:link w:val="5"/>
    <w:qFormat/>
    <w:uiPriority w:val="0"/>
    <w:rPr>
      <w:rFonts w:ascii="Times New Roman" w:hAnsi="Times New Roman" w:eastAsia="宋体" w:cs="Times New Roman"/>
      <w:b/>
      <w:bCs/>
      <w:sz w:val="32"/>
      <w:szCs w:val="32"/>
    </w:rPr>
  </w:style>
  <w:style w:type="character" w:customStyle="1" w:styleId="71">
    <w:name w:val="标题 4 字符"/>
    <w:link w:val="6"/>
    <w:qFormat/>
    <w:uiPriority w:val="9"/>
    <w:rPr>
      <w:rFonts w:ascii="Calibri Light" w:hAnsi="Calibri Light" w:eastAsia="黑体" w:cs="Times New Roman"/>
      <w:b/>
      <w:bCs/>
      <w:sz w:val="28"/>
      <w:szCs w:val="28"/>
    </w:rPr>
  </w:style>
  <w:style w:type="character" w:customStyle="1" w:styleId="72">
    <w:name w:val="标题 5 字符"/>
    <w:link w:val="7"/>
    <w:qFormat/>
    <w:uiPriority w:val="9"/>
    <w:rPr>
      <w:rFonts w:ascii="Arial" w:hAnsi="Arial" w:eastAsia="Arial" w:cs="Arial"/>
      <w:b/>
      <w:bCs/>
      <w:sz w:val="24"/>
      <w:szCs w:val="24"/>
    </w:rPr>
  </w:style>
  <w:style w:type="character" w:customStyle="1" w:styleId="73">
    <w:name w:val="标题 6 字符"/>
    <w:link w:val="8"/>
    <w:qFormat/>
    <w:uiPriority w:val="9"/>
    <w:rPr>
      <w:rFonts w:ascii="Arial" w:hAnsi="Arial" w:eastAsia="Arial" w:cs="Arial"/>
      <w:b/>
      <w:bCs/>
      <w:sz w:val="22"/>
      <w:szCs w:val="22"/>
    </w:rPr>
  </w:style>
  <w:style w:type="character" w:customStyle="1" w:styleId="74">
    <w:name w:val="标题 7 字符"/>
    <w:link w:val="9"/>
    <w:qFormat/>
    <w:uiPriority w:val="9"/>
    <w:rPr>
      <w:rFonts w:ascii="Arial" w:hAnsi="Arial" w:eastAsia="Arial" w:cs="Arial"/>
      <w:b/>
      <w:bCs/>
      <w:i/>
      <w:iCs/>
      <w:sz w:val="22"/>
      <w:szCs w:val="22"/>
    </w:rPr>
  </w:style>
  <w:style w:type="character" w:customStyle="1" w:styleId="75">
    <w:name w:val="标题 8 字符"/>
    <w:link w:val="10"/>
    <w:qFormat/>
    <w:uiPriority w:val="9"/>
    <w:rPr>
      <w:rFonts w:ascii="Arial" w:hAnsi="Arial" w:eastAsia="Arial" w:cs="Arial"/>
      <w:i/>
      <w:iCs/>
      <w:sz w:val="22"/>
      <w:szCs w:val="22"/>
    </w:rPr>
  </w:style>
  <w:style w:type="character" w:customStyle="1" w:styleId="76">
    <w:name w:val="标题 9 字符"/>
    <w:link w:val="11"/>
    <w:qFormat/>
    <w:uiPriority w:val="9"/>
    <w:rPr>
      <w:rFonts w:ascii="Arial" w:hAnsi="Arial" w:eastAsia="Arial" w:cs="Arial"/>
      <w:i/>
      <w:iCs/>
      <w:sz w:val="21"/>
      <w:szCs w:val="21"/>
    </w:rPr>
  </w:style>
  <w:style w:type="character" w:customStyle="1" w:styleId="77">
    <w:name w:val="批注文字 字符"/>
    <w:link w:val="16"/>
    <w:qFormat/>
    <w:uiPriority w:val="99"/>
    <w:rPr>
      <w:rFonts w:ascii="Calibri" w:hAnsi="Calibri" w:eastAsia="宋体" w:cs="Times New Roman"/>
      <w:sz w:val="21"/>
      <w:szCs w:val="22"/>
    </w:rPr>
  </w:style>
  <w:style w:type="character" w:customStyle="1" w:styleId="78">
    <w:name w:val="正文文本 字符"/>
    <w:link w:val="17"/>
    <w:qFormat/>
    <w:uiPriority w:val="99"/>
    <w:rPr>
      <w:rFonts w:ascii="Times New Roman" w:hAnsi="Times New Roman" w:eastAsia="宋体" w:cs="Times New Roman"/>
      <w:sz w:val="24"/>
      <w:szCs w:val="24"/>
    </w:rPr>
  </w:style>
  <w:style w:type="character" w:customStyle="1" w:styleId="79">
    <w:name w:val="纯文本 字符"/>
    <w:link w:val="22"/>
    <w:qFormat/>
    <w:uiPriority w:val="0"/>
    <w:rPr>
      <w:rFonts w:ascii="宋体" w:hAnsi="Courier New"/>
      <w:sz w:val="21"/>
      <w:szCs w:val="22"/>
    </w:rPr>
  </w:style>
  <w:style w:type="character" w:customStyle="1" w:styleId="80">
    <w:name w:val="日期 字符"/>
    <w:link w:val="24"/>
    <w:qFormat/>
    <w:uiPriority w:val="0"/>
    <w:rPr>
      <w:rFonts w:ascii="Times New Roman" w:hAnsi="Times New Roman" w:eastAsia="宋体" w:cs="Times New Roman"/>
      <w:sz w:val="21"/>
      <w:szCs w:val="24"/>
    </w:rPr>
  </w:style>
  <w:style w:type="character" w:customStyle="1" w:styleId="81">
    <w:name w:val="尾注文本 字符"/>
    <w:link w:val="26"/>
    <w:qFormat/>
    <w:uiPriority w:val="99"/>
    <w:rPr>
      <w:sz w:val="20"/>
    </w:rPr>
  </w:style>
  <w:style w:type="character" w:customStyle="1" w:styleId="82">
    <w:name w:val="批注框文本 字符"/>
    <w:link w:val="27"/>
    <w:semiHidden/>
    <w:qFormat/>
    <w:uiPriority w:val="99"/>
    <w:rPr>
      <w:sz w:val="18"/>
      <w:szCs w:val="18"/>
    </w:rPr>
  </w:style>
  <w:style w:type="character" w:customStyle="1" w:styleId="83">
    <w:name w:val="页脚 字符"/>
    <w:link w:val="28"/>
    <w:qFormat/>
    <w:uiPriority w:val="99"/>
    <w:rPr>
      <w:sz w:val="18"/>
      <w:szCs w:val="18"/>
    </w:rPr>
  </w:style>
  <w:style w:type="character" w:customStyle="1" w:styleId="84">
    <w:name w:val="页眉 字符"/>
    <w:link w:val="30"/>
    <w:qFormat/>
    <w:uiPriority w:val="99"/>
    <w:rPr>
      <w:sz w:val="18"/>
      <w:szCs w:val="18"/>
    </w:rPr>
  </w:style>
  <w:style w:type="character" w:customStyle="1" w:styleId="85">
    <w:name w:val="副标题 字符"/>
    <w:link w:val="33"/>
    <w:qFormat/>
    <w:uiPriority w:val="11"/>
    <w:rPr>
      <w:sz w:val="24"/>
      <w:szCs w:val="24"/>
    </w:rPr>
  </w:style>
  <w:style w:type="character" w:customStyle="1" w:styleId="86">
    <w:name w:val="脚注文本 字符"/>
    <w:link w:val="34"/>
    <w:qFormat/>
    <w:uiPriority w:val="99"/>
    <w:rPr>
      <w:sz w:val="18"/>
    </w:rPr>
  </w:style>
  <w:style w:type="character" w:customStyle="1" w:styleId="87">
    <w:name w:val="HTML 预设格式 字符"/>
    <w:link w:val="39"/>
    <w:qFormat/>
    <w:uiPriority w:val="99"/>
    <w:rPr>
      <w:rFonts w:ascii="Arial" w:hAnsi="Arial" w:eastAsia="宋体" w:cs="Times New Roman"/>
      <w:sz w:val="11"/>
      <w:szCs w:val="11"/>
    </w:rPr>
  </w:style>
  <w:style w:type="character" w:customStyle="1" w:styleId="88">
    <w:name w:val="标题 字符"/>
    <w:link w:val="41"/>
    <w:qFormat/>
    <w:uiPriority w:val="0"/>
    <w:rPr>
      <w:rFonts w:ascii="Cambria" w:hAnsi="Cambria" w:eastAsia="黑体" w:cs="Times New Roman"/>
      <w:b/>
      <w:bCs/>
      <w:sz w:val="52"/>
      <w:szCs w:val="32"/>
    </w:rPr>
  </w:style>
  <w:style w:type="character" w:customStyle="1" w:styleId="89">
    <w:name w:val="批注主题 字符"/>
    <w:link w:val="42"/>
    <w:semiHidden/>
    <w:qFormat/>
    <w:uiPriority w:val="99"/>
    <w:rPr>
      <w:rFonts w:ascii="Calibri" w:hAnsi="Calibri" w:eastAsia="宋体" w:cs="Times New Roman"/>
      <w:b/>
      <w:bCs/>
      <w:sz w:val="21"/>
      <w:szCs w:val="22"/>
    </w:rPr>
  </w:style>
  <w:style w:type="paragraph" w:customStyle="1" w:styleId="90">
    <w:name w:val="正文（缩进）"/>
    <w:basedOn w:val="1"/>
    <w:next w:val="91"/>
    <w:qFormat/>
    <w:uiPriority w:val="0"/>
    <w:pPr>
      <w:spacing w:beforeLines="50" w:afterLines="50" w:line="360" w:lineRule="auto"/>
      <w:ind w:firstLine="480" w:firstLineChars="200"/>
    </w:pPr>
    <w:rPr>
      <w:sz w:val="24"/>
      <w:szCs w:val="24"/>
    </w:rPr>
  </w:style>
  <w:style w:type="paragraph" w:customStyle="1" w:styleId="91">
    <w:name w:val="Char Char Char Char Char Char Char Char Char"/>
    <w:basedOn w:val="1"/>
    <w:next w:val="92"/>
    <w:qFormat/>
    <w:uiPriority w:val="99"/>
    <w:pPr>
      <w:ind w:left="360" w:firstLine="5784"/>
    </w:pPr>
  </w:style>
  <w:style w:type="paragraph" w:customStyle="1" w:styleId="92">
    <w:name w:val="正文文本 21"/>
    <w:basedOn w:val="1"/>
    <w:next w:val="93"/>
    <w:qFormat/>
    <w:uiPriority w:val="99"/>
    <w:pPr>
      <w:widowControl/>
      <w:ind w:left="720" w:firstLine="5680"/>
    </w:pPr>
  </w:style>
  <w:style w:type="paragraph" w:customStyle="1" w:styleId="93">
    <w:name w:val="默认段落字体 Para Char Char Char Char Char Char Char"/>
    <w:basedOn w:val="1"/>
    <w:next w:val="94"/>
    <w:qFormat/>
    <w:uiPriority w:val="99"/>
    <w:pPr>
      <w:ind w:firstLine="200" w:firstLineChars="200"/>
    </w:pPr>
    <w:rPr>
      <w:rFonts w:cs="Arial"/>
    </w:rPr>
  </w:style>
  <w:style w:type="paragraph" w:customStyle="1" w:styleId="94">
    <w:name w:val="样式 首行缩进:  2 字符"/>
    <w:basedOn w:val="1"/>
    <w:next w:val="95"/>
    <w:qFormat/>
    <w:uiPriority w:val="99"/>
    <w:pPr>
      <w:spacing w:line="360" w:lineRule="auto"/>
      <w:ind w:left="480" w:firstLine="5856"/>
    </w:pPr>
  </w:style>
  <w:style w:type="paragraph" w:customStyle="1" w:styleId="95">
    <w:name w:val="样式 段后: 0.25 行"/>
    <w:basedOn w:val="1"/>
    <w:next w:val="96"/>
    <w:qFormat/>
    <w:uiPriority w:val="99"/>
    <w:pPr>
      <w:widowControl/>
      <w:spacing w:line="300" w:lineRule="auto"/>
      <w:ind w:left="420" w:firstLine="5796"/>
    </w:pPr>
  </w:style>
  <w:style w:type="paragraph" w:customStyle="1" w:styleId="96">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7">
    <w:name w:val="Heading 1 Char"/>
    <w:qFormat/>
    <w:uiPriority w:val="9"/>
    <w:rPr>
      <w:rFonts w:ascii="Arial" w:hAnsi="Arial" w:eastAsia="Arial" w:cs="Arial"/>
      <w:sz w:val="40"/>
      <w:szCs w:val="40"/>
    </w:rPr>
  </w:style>
  <w:style w:type="character" w:customStyle="1" w:styleId="98">
    <w:name w:val="Heading 2 Char"/>
    <w:qFormat/>
    <w:uiPriority w:val="9"/>
    <w:rPr>
      <w:rFonts w:ascii="Arial" w:hAnsi="Arial" w:eastAsia="Arial" w:cs="Arial"/>
      <w:sz w:val="34"/>
    </w:rPr>
  </w:style>
  <w:style w:type="character" w:customStyle="1" w:styleId="99">
    <w:name w:val="Heading 3 Char"/>
    <w:qFormat/>
    <w:uiPriority w:val="9"/>
    <w:rPr>
      <w:rFonts w:ascii="Arial" w:hAnsi="Arial" w:eastAsia="Arial" w:cs="Arial"/>
      <w:sz w:val="30"/>
      <w:szCs w:val="30"/>
    </w:rPr>
  </w:style>
  <w:style w:type="character" w:customStyle="1" w:styleId="100">
    <w:name w:val="Heading 4 Char"/>
    <w:qFormat/>
    <w:uiPriority w:val="9"/>
    <w:rPr>
      <w:rFonts w:ascii="Arial" w:hAnsi="Arial" w:eastAsia="Arial" w:cs="Arial"/>
      <w:b/>
      <w:bCs/>
      <w:sz w:val="26"/>
      <w:szCs w:val="26"/>
    </w:rPr>
  </w:style>
  <w:style w:type="character" w:customStyle="1" w:styleId="101">
    <w:name w:val="Title Char"/>
    <w:qFormat/>
    <w:uiPriority w:val="10"/>
    <w:rPr>
      <w:sz w:val="48"/>
      <w:szCs w:val="48"/>
    </w:rPr>
  </w:style>
  <w:style w:type="paragraph" w:customStyle="1" w:styleId="102">
    <w:name w:val="引用1"/>
    <w:basedOn w:val="1"/>
    <w:next w:val="1"/>
    <w:link w:val="103"/>
    <w:qFormat/>
    <w:uiPriority w:val="29"/>
    <w:pPr>
      <w:ind w:left="720" w:right="720"/>
    </w:pPr>
    <w:rPr>
      <w:i/>
    </w:rPr>
  </w:style>
  <w:style w:type="character" w:customStyle="1" w:styleId="103">
    <w:name w:val="引用 Char"/>
    <w:link w:val="102"/>
    <w:qFormat/>
    <w:uiPriority w:val="29"/>
    <w:rPr>
      <w:i/>
    </w:rPr>
  </w:style>
  <w:style w:type="paragraph" w:customStyle="1" w:styleId="104">
    <w:name w:val="明显引用1"/>
    <w:basedOn w:val="1"/>
    <w:next w:val="1"/>
    <w:link w:val="10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5">
    <w:name w:val="明显引用 Char"/>
    <w:link w:val="104"/>
    <w:qFormat/>
    <w:uiPriority w:val="30"/>
    <w:rPr>
      <w:i/>
    </w:rPr>
  </w:style>
  <w:style w:type="character" w:customStyle="1" w:styleId="106">
    <w:name w:val="Header Char"/>
    <w:qFormat/>
    <w:uiPriority w:val="99"/>
  </w:style>
  <w:style w:type="character" w:customStyle="1" w:styleId="107">
    <w:name w:val="Footer Char"/>
    <w:qFormat/>
    <w:uiPriority w:val="99"/>
  </w:style>
  <w:style w:type="character" w:customStyle="1" w:styleId="108">
    <w:name w:val="Caption Char"/>
    <w:qFormat/>
    <w:uiPriority w:val="99"/>
  </w:style>
  <w:style w:type="table" w:customStyle="1" w:styleId="109">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10">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11">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12">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3">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4">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5">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6">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7">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8">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9">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20">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21">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22">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3">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4">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5">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6">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7">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8">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9">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0">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31">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2">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3">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4">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5">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6">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7">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8">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9">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40">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41">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42">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43">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4">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5">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6">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7">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8">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9">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50">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51">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2">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3">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4">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5">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6">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7">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8">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9">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60">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61">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62">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63">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4">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5">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6">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7">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8">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9">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70">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71">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72">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73">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4">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5">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6">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7">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8">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9">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80">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81">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82">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83">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4">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5">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6">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7">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8">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9">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90">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91">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92">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93">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4">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5">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6">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7">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8">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9">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200">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1">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2">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3">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4">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5">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6">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7">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8">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9">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10">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11">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12">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13">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4">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5">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6">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7">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8">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9">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0">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21">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22">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23">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4">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5">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6">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7">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8">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9">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30">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31">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32">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33">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4">
    <w:name w:val="TOC 标题1"/>
    <w:unhideWhenUsed/>
    <w:qFormat/>
    <w:uiPriority w:val="39"/>
    <w:rPr>
      <w:rFonts w:ascii="Times New Roman" w:hAnsi="Times New Roman" w:eastAsia="宋体" w:cs="Times New Roman"/>
      <w:lang w:val="en-US" w:eastAsia="zh-CN" w:bidi="ar-SA"/>
    </w:rPr>
  </w:style>
  <w:style w:type="paragraph" w:customStyle="1" w:styleId="235">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6">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7">
    <w:name w:val="正文2"/>
    <w:basedOn w:val="1"/>
    <w:link w:val="238"/>
    <w:qFormat/>
    <w:uiPriority w:val="99"/>
    <w:pPr>
      <w:spacing w:line="360" w:lineRule="auto"/>
      <w:ind w:firstLine="420"/>
    </w:pPr>
    <w:rPr>
      <w:rFonts w:ascii="宋体" w:hAnsi="宋体" w:cs="宋体"/>
      <w:color w:val="000000"/>
      <w:szCs w:val="21"/>
    </w:rPr>
  </w:style>
  <w:style w:type="character" w:customStyle="1" w:styleId="238">
    <w:name w:val="正文2 Char Char"/>
    <w:link w:val="237"/>
    <w:qFormat/>
    <w:uiPriority w:val="99"/>
    <w:rPr>
      <w:rFonts w:ascii="宋体" w:hAnsi="宋体" w:eastAsia="宋体" w:cs="宋体"/>
      <w:color w:val="000000"/>
      <w:sz w:val="21"/>
      <w:szCs w:val="21"/>
    </w:rPr>
  </w:style>
  <w:style w:type="paragraph" w:customStyle="1" w:styleId="239">
    <w:name w:val="Table Paragraph"/>
    <w:basedOn w:val="1"/>
    <w:qFormat/>
    <w:uiPriority w:val="1"/>
    <w:pPr>
      <w:jc w:val="left"/>
    </w:pPr>
    <w:rPr>
      <w:rFonts w:ascii="宋体" w:hAnsi="宋体" w:cs="宋体"/>
      <w:sz w:val="22"/>
      <w:lang w:val="zh-CN" w:bidi="zh-CN"/>
    </w:rPr>
  </w:style>
  <w:style w:type="paragraph" w:customStyle="1" w:styleId="240">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41">
    <w:name w:val="p21"/>
    <w:qFormat/>
    <w:uiPriority w:val="0"/>
    <w:rPr>
      <w:sz w:val="9"/>
      <w:szCs w:val="9"/>
    </w:rPr>
  </w:style>
  <w:style w:type="paragraph" w:customStyle="1" w:styleId="242">
    <w:name w:val="t_black_12_b"/>
    <w:basedOn w:val="1"/>
    <w:qFormat/>
    <w:uiPriority w:val="0"/>
    <w:pPr>
      <w:widowControl/>
      <w:jc w:val="left"/>
    </w:pPr>
    <w:rPr>
      <w:rFonts w:ascii="宋体" w:hAnsi="宋体" w:cs="宋体"/>
      <w:b/>
      <w:bCs/>
      <w:color w:val="212121"/>
      <w:sz w:val="9"/>
      <w:szCs w:val="9"/>
    </w:rPr>
  </w:style>
  <w:style w:type="paragraph" w:customStyle="1" w:styleId="243">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4">
    <w:name w:val="标题3"/>
    <w:basedOn w:val="1"/>
    <w:link w:val="245"/>
    <w:qFormat/>
    <w:uiPriority w:val="0"/>
    <w:pPr>
      <w:pageBreakBefore/>
      <w:jc w:val="center"/>
      <w:outlineLvl w:val="2"/>
    </w:pPr>
    <w:rPr>
      <w:rFonts w:ascii="黑体" w:hAnsi="黑体" w:eastAsia="黑体"/>
      <w:b/>
      <w:sz w:val="32"/>
      <w:szCs w:val="32"/>
    </w:rPr>
  </w:style>
  <w:style w:type="character" w:customStyle="1" w:styleId="245">
    <w:name w:val="标题3 Char"/>
    <w:link w:val="244"/>
    <w:qFormat/>
    <w:uiPriority w:val="0"/>
    <w:rPr>
      <w:rFonts w:ascii="黑体" w:hAnsi="黑体" w:eastAsia="黑体" w:cs="Times New Roman"/>
      <w:b/>
      <w:sz w:val="32"/>
      <w:szCs w:val="32"/>
    </w:rPr>
  </w:style>
  <w:style w:type="paragraph" w:customStyle="1" w:styleId="246">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7">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8">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9">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0">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51">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2">
    <w:name w:val="修订1"/>
    <w:unhideWhenUsed/>
    <w:qFormat/>
    <w:uiPriority w:val="99"/>
    <w:rPr>
      <w:rFonts w:ascii="Calibri" w:hAnsi="Calibri" w:eastAsia="宋体" w:cs="Times New Roman"/>
      <w:sz w:val="21"/>
      <w:szCs w:val="22"/>
      <w:lang w:val="en-US" w:eastAsia="zh-CN" w:bidi="ar-SA"/>
    </w:rPr>
  </w:style>
  <w:style w:type="paragraph" w:customStyle="1" w:styleId="253">
    <w:name w:val="BodyText"/>
    <w:basedOn w:val="1"/>
    <w:qFormat/>
    <w:uiPriority w:val="0"/>
    <w:pPr>
      <w:spacing w:after="120"/>
    </w:pPr>
    <w:rPr>
      <w:rFonts w:hAnsi="Times New Roman"/>
      <w:sz w:val="20"/>
      <w:szCs w:val="20"/>
    </w:rPr>
  </w:style>
  <w:style w:type="table" w:customStyle="1" w:styleId="254">
    <w:name w:val="Table Normal"/>
    <w:basedOn w:val="45"/>
    <w:semiHidden/>
    <w:qFormat/>
    <w:uiPriority w:val="2"/>
    <w:tblPr>
      <w:tblCellMar>
        <w:left w:w="0" w:type="dxa"/>
        <w:right w:w="0" w:type="dxa"/>
      </w:tblCellMar>
    </w:tblPr>
  </w:style>
  <w:style w:type="paragraph" w:customStyle="1" w:styleId="255">
    <w:name w:val="列出段落11"/>
    <w:basedOn w:val="1"/>
    <w:qFormat/>
    <w:uiPriority w:val="99"/>
    <w:pPr>
      <w:ind w:firstLine="420"/>
    </w:pPr>
    <w:rPr>
      <w:rFonts w:ascii="Times New Roman" w:hAnsi="Times New Roman"/>
      <w:szCs w:val="24"/>
    </w:rPr>
  </w:style>
  <w:style w:type="paragraph" w:customStyle="1" w:styleId="256">
    <w:name w:val="hk正文"/>
    <w:basedOn w:val="1"/>
    <w:qFormat/>
    <w:uiPriority w:val="0"/>
    <w:pPr>
      <w:spacing w:line="440" w:lineRule="exact"/>
      <w:ind w:firstLine="560"/>
    </w:pPr>
    <w:rPr>
      <w:rFonts w:ascii="Arial" w:hAnsi="Arial" w:cs="宋体"/>
      <w:szCs w:val="28"/>
    </w:rPr>
  </w:style>
  <w:style w:type="paragraph" w:customStyle="1" w:styleId="257">
    <w:name w:val="首行缩进"/>
    <w:basedOn w:val="1"/>
    <w:qFormat/>
    <w:uiPriority w:val="0"/>
    <w:pPr>
      <w:ind w:firstLine="480"/>
    </w:pPr>
    <w:rPr>
      <w:rFonts w:eastAsia="楷体_GB2312"/>
      <w:sz w:val="26"/>
      <w:lang w:val="zh-CN"/>
    </w:rPr>
  </w:style>
  <w:style w:type="paragraph" w:customStyle="1" w:styleId="258">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9">
    <w:name w:val="Table Text"/>
    <w:basedOn w:val="1"/>
    <w:semiHidden/>
    <w:qFormat/>
    <w:uiPriority w:val="0"/>
    <w:rPr>
      <w:rFonts w:ascii="Arial" w:hAnsi="Arial" w:eastAsia="Arial" w:cs="Arial"/>
      <w:szCs w:val="21"/>
      <w:lang w:eastAsia="en-US"/>
    </w:rPr>
  </w:style>
  <w:style w:type="paragraph" w:customStyle="1" w:styleId="260">
    <w:name w:val="列表段落1"/>
    <w:basedOn w:val="1"/>
    <w:qFormat/>
    <w:uiPriority w:val="34"/>
    <w:pPr>
      <w:ind w:left="223" w:firstLine="420"/>
    </w:pPr>
  </w:style>
  <w:style w:type="paragraph" w:customStyle="1" w:styleId="261">
    <w:name w:val="修订2"/>
    <w:hidden/>
    <w:unhideWhenUsed/>
    <w:qFormat/>
    <w:uiPriority w:val="99"/>
    <w:rPr>
      <w:rFonts w:ascii="Calibri" w:hAnsi="Calibri" w:eastAsia="宋体" w:cs="Times New Roman"/>
      <w:sz w:val="21"/>
      <w:szCs w:val="22"/>
      <w:lang w:val="en-US" w:eastAsia="zh-CN" w:bidi="ar-SA"/>
    </w:rPr>
  </w:style>
  <w:style w:type="paragraph" w:customStyle="1" w:styleId="262">
    <w:name w:val="修订3"/>
    <w:hidden/>
    <w:unhideWhenUsed/>
    <w:qFormat/>
    <w:uiPriority w:val="99"/>
    <w:rPr>
      <w:rFonts w:ascii="Calibri" w:hAnsi="Calibri" w:eastAsia="宋体" w:cs="Times New Roman"/>
      <w:sz w:val="21"/>
      <w:szCs w:val="22"/>
      <w:lang w:val="en-US" w:eastAsia="zh-CN" w:bidi="ar-SA"/>
    </w:rPr>
  </w:style>
  <w:style w:type="paragraph" w:customStyle="1" w:styleId="263">
    <w:name w:val="修订4"/>
    <w:hidden/>
    <w:unhideWhenUsed/>
    <w:qFormat/>
    <w:uiPriority w:val="99"/>
    <w:rPr>
      <w:rFonts w:ascii="Calibri" w:hAnsi="Calibri" w:eastAsia="宋体" w:cs="Times New Roman"/>
      <w:sz w:val="21"/>
      <w:szCs w:val="22"/>
      <w:lang w:val="en-US" w:eastAsia="zh-CN" w:bidi="ar-SA"/>
    </w:rPr>
  </w:style>
  <w:style w:type="paragraph" w:customStyle="1" w:styleId="264">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5">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6">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7">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8">
    <w:name w:val="着重标题"/>
    <w:qFormat/>
    <w:uiPriority w:val="0"/>
    <w:rPr>
      <w:rFonts w:ascii="Calibri" w:hAnsi="Calibri"/>
      <w:b/>
      <w:sz w:val="24"/>
    </w:rPr>
  </w:style>
  <w:style w:type="paragraph" w:customStyle="1" w:styleId="269">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70">
    <w:name w:val="标题 61"/>
    <w:basedOn w:val="1"/>
    <w:qFormat/>
    <w:uiPriority w:val="1"/>
    <w:pPr>
      <w:ind w:left="680"/>
      <w:outlineLvl w:val="6"/>
    </w:pPr>
    <w:rPr>
      <w:sz w:val="24"/>
      <w:szCs w:val="24"/>
    </w:rPr>
  </w:style>
  <w:style w:type="paragraph" w:customStyle="1" w:styleId="271">
    <w:name w:val="标题 51"/>
    <w:basedOn w:val="1"/>
    <w:qFormat/>
    <w:uiPriority w:val="1"/>
    <w:pPr>
      <w:spacing w:before="3"/>
      <w:ind w:left="680"/>
      <w:outlineLvl w:val="5"/>
    </w:pPr>
    <w:rPr>
      <w:b/>
      <w:bCs/>
      <w:sz w:val="24"/>
      <w:szCs w:val="24"/>
    </w:rPr>
  </w:style>
  <w:style w:type="paragraph" w:customStyle="1" w:styleId="272">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73">
    <w:name w:val="NormalCharacter1"/>
    <w:semiHidden/>
    <w:qFormat/>
    <w:uiPriority w:val="0"/>
    <w:rPr>
      <w:rFonts w:ascii="Calibri" w:hAnsi="Calibri" w:eastAsia="宋体" w:cs="Times New Roman"/>
      <w:sz w:val="21"/>
      <w:szCs w:val="22"/>
      <w:lang w:val="en-US" w:eastAsia="zh-CN" w:bidi="ar-SA"/>
    </w:rPr>
  </w:style>
  <w:style w:type="character" w:customStyle="1" w:styleId="274">
    <w:name w:val="批注文字 字符1"/>
    <w:qFormat/>
    <w:uiPriority w:val="99"/>
    <w:rPr>
      <w:kern w:val="2"/>
      <w:sz w:val="21"/>
      <w:szCs w:val="24"/>
    </w:rPr>
  </w:style>
  <w:style w:type="paragraph" w:customStyle="1" w:styleId="275">
    <w:name w:val="Default"/>
    <w:qFormat/>
    <w:uiPriority w:val="0"/>
    <w:pPr>
      <w:autoSpaceDE w:val="0"/>
      <w:autoSpaceDN w:val="0"/>
      <w:adjustRightInd w:val="0"/>
    </w:pPr>
    <w:rPr>
      <w:rFonts w:ascii="宋体" w:hAnsi="Times New Roman" w:eastAsia="宋体" w:cs="宋体"/>
      <w:color w:val="000000"/>
      <w:sz w:val="24"/>
      <w:szCs w:val="24"/>
      <w:lang w:val="en-US" w:eastAsia="zh-CN" w:bidi="ar-SA"/>
    </w:rPr>
  </w:style>
  <w:style w:type="paragraph" w:styleId="276">
    <w:name w:val="No Spacing"/>
    <w:qFormat/>
    <w:uiPriority w:val="99"/>
    <w:pPr>
      <w:widowControl w:val="0"/>
      <w:jc w:val="both"/>
    </w:pPr>
    <w:rPr>
      <w:rFonts w:ascii="Calibri" w:hAnsi="Calibri" w:eastAsia="宋体" w:cs="Times New Roman"/>
      <w:kern w:val="2"/>
      <w:sz w:val="24"/>
      <w:szCs w:val="22"/>
      <w:lang w:val="en-US" w:eastAsia="zh-CN" w:bidi="ar-SA"/>
    </w:rPr>
  </w:style>
  <w:style w:type="character" w:customStyle="1" w:styleId="277">
    <w:name w:val="正文文本首行缩进 字符"/>
    <w:basedOn w:val="78"/>
    <w:link w:val="43"/>
    <w:qFormat/>
    <w:uiPriority w:val="0"/>
    <w:rPr>
      <w:rFonts w:asciiTheme="minorHAnsi" w:hAnsiTheme="minorHAnsi" w:eastAsiaTheme="minorEastAsia" w:cstheme="minorBidi"/>
      <w:kern w:val="2"/>
      <w:sz w:val="21"/>
      <w:szCs w:val="24"/>
    </w:rPr>
  </w:style>
  <w:style w:type="character" w:customStyle="1" w:styleId="278">
    <w:name w:val="列表段落 字符"/>
    <w:link w:val="3"/>
    <w:qFormat/>
    <w:uiPriority w:val="99"/>
    <w:rPr>
      <w:rFonts w:ascii="Calibri" w:hAnsi="Calibri"/>
      <w:sz w:val="21"/>
      <w:szCs w:val="22"/>
    </w:rPr>
  </w:style>
  <w:style w:type="character" w:customStyle="1" w:styleId="279">
    <w:name w:val="Michael-正文 字符"/>
    <w:basedOn w:val="47"/>
    <w:link w:val="280"/>
    <w:qFormat/>
    <w:uiPriority w:val="0"/>
    <w:rPr>
      <w:rFonts w:ascii="Calibri" w:hAnsi="Calibri" w:eastAsia="微软雅黑" w:cs="Calibri"/>
    </w:rPr>
  </w:style>
  <w:style w:type="paragraph" w:customStyle="1" w:styleId="280">
    <w:name w:val="Michael-正文"/>
    <w:basedOn w:val="1"/>
    <w:link w:val="279"/>
    <w:qFormat/>
    <w:uiPriority w:val="0"/>
    <w:pPr>
      <w:adjustRightInd w:val="0"/>
    </w:pPr>
    <w:rPr>
      <w:rFonts w:eastAsia="微软雅黑" w:cs="Calibri"/>
      <w:sz w:val="20"/>
      <w:szCs w:val="20"/>
    </w:rPr>
  </w:style>
  <w:style w:type="paragraph" w:customStyle="1" w:styleId="281">
    <w:name w:val="修订5"/>
    <w:hidden/>
    <w:unhideWhenUsed/>
    <w:qFormat/>
    <w:uiPriority w:val="99"/>
    <w:rPr>
      <w:rFonts w:ascii="Calibri" w:hAnsi="Calibri" w:eastAsia="宋体" w:cs="Times New Roman"/>
      <w:sz w:val="21"/>
      <w:szCs w:val="22"/>
      <w:lang w:val="en-US" w:eastAsia="zh-CN" w:bidi="ar-SA"/>
    </w:rPr>
  </w:style>
  <w:style w:type="paragraph" w:customStyle="1" w:styleId="282">
    <w:name w:val="修订6"/>
    <w:hidden/>
    <w:unhideWhenUsed/>
    <w:qFormat/>
    <w:uiPriority w:val="99"/>
    <w:rPr>
      <w:rFonts w:ascii="Calibri" w:hAnsi="Calibri" w:eastAsia="宋体" w:cs="Times New Roman"/>
      <w:sz w:val="21"/>
      <w:szCs w:val="22"/>
      <w:lang w:val="en-US" w:eastAsia="zh-CN" w:bidi="ar-SA"/>
    </w:rPr>
  </w:style>
  <w:style w:type="character" w:customStyle="1" w:styleId="283">
    <w:name w:val="未处理的提及1"/>
    <w:basedOn w:val="47"/>
    <w:semiHidden/>
    <w:unhideWhenUsed/>
    <w:qFormat/>
    <w:uiPriority w:val="99"/>
    <w:rPr>
      <w:color w:val="605E5C"/>
      <w:shd w:val="clear" w:color="auto" w:fill="E1DFDD"/>
    </w:rPr>
  </w:style>
  <w:style w:type="paragraph" w:customStyle="1" w:styleId="284">
    <w:name w:val="p0"/>
    <w:basedOn w:val="1"/>
    <w:qFormat/>
    <w:uiPriority w:val="0"/>
    <w:pPr>
      <w:widowControl/>
    </w:pPr>
  </w:style>
  <w:style w:type="paragraph" w:customStyle="1" w:styleId="285">
    <w:name w:val="正文首行缩进 21"/>
    <w:basedOn w:val="286"/>
    <w:next w:val="1"/>
    <w:qFormat/>
    <w:uiPriority w:val="0"/>
    <w:pPr>
      <w:spacing w:line="360" w:lineRule="auto"/>
      <w:ind w:firstLine="420"/>
    </w:pPr>
    <w:rPr>
      <w:szCs w:val="20"/>
    </w:rPr>
  </w:style>
  <w:style w:type="paragraph" w:customStyle="1" w:styleId="286">
    <w:name w:val="正文文本缩进1"/>
    <w:basedOn w:val="1"/>
    <w:next w:val="287"/>
    <w:qFormat/>
    <w:uiPriority w:val="0"/>
    <w:pPr>
      <w:spacing w:line="440" w:lineRule="exact"/>
      <w:ind w:firstLine="403"/>
    </w:pPr>
    <w:rPr>
      <w:rFonts w:ascii="宋体" w:hAnsi="宋体"/>
      <w:sz w:val="20"/>
      <w:szCs w:val="21"/>
    </w:rPr>
  </w:style>
  <w:style w:type="paragraph" w:customStyle="1" w:styleId="287">
    <w:name w:val="寄信人地址1"/>
    <w:basedOn w:val="1"/>
    <w:qFormat/>
    <w:uiPriority w:val="0"/>
  </w:style>
  <w:style w:type="paragraph" w:customStyle="1" w:styleId="288">
    <w:name w:val="修订7"/>
    <w:hidden/>
    <w:unhideWhenUsed/>
    <w:qFormat/>
    <w:uiPriority w:val="99"/>
    <w:rPr>
      <w:rFonts w:ascii="Calibri" w:hAnsi="Calibri" w:eastAsia="宋体" w:cs="Times New Roman"/>
      <w:sz w:val="21"/>
      <w:szCs w:val="22"/>
      <w:lang w:val="en-US" w:eastAsia="zh-CN" w:bidi="ar-SA"/>
    </w:rPr>
  </w:style>
  <w:style w:type="paragraph" w:customStyle="1" w:styleId="289">
    <w:name w:val="修订8"/>
    <w:hidden/>
    <w:unhideWhenUsed/>
    <w:qFormat/>
    <w:uiPriority w:val="99"/>
    <w:rPr>
      <w:rFonts w:ascii="Calibri" w:hAnsi="Calibri" w:eastAsia="宋体" w:cs="Times New Roman"/>
      <w:sz w:val="21"/>
      <w:szCs w:val="22"/>
      <w:lang w:val="en-US" w:eastAsia="zh-CN" w:bidi="ar-SA"/>
    </w:rPr>
  </w:style>
  <w:style w:type="paragraph" w:customStyle="1" w:styleId="290">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291">
    <w:name w:val="修订9"/>
    <w:hidden/>
    <w:unhideWhenUsed/>
    <w:qFormat/>
    <w:uiPriority w:val="99"/>
    <w:rPr>
      <w:rFonts w:ascii="Calibri" w:hAnsi="Calibri" w:eastAsia="宋体" w:cs="Times New Roman"/>
      <w:sz w:val="21"/>
      <w:szCs w:val="22"/>
      <w:lang w:val="en-US" w:eastAsia="zh-CN" w:bidi="ar-SA"/>
    </w:rPr>
  </w:style>
  <w:style w:type="paragraph" w:customStyle="1" w:styleId="292">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F2D8C3-D648-433A-970D-CD042409721B}">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48</Pages>
  <Words>12387</Words>
  <Characters>12984</Characters>
  <Lines>210</Lines>
  <Paragraphs>59</Paragraphs>
  <TotalTime>48</TotalTime>
  <ScaleCrop>false</ScaleCrop>
  <LinksUpToDate>false</LinksUpToDate>
  <CharactersWithSpaces>13014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2026-07-17T06:54:00Z</dcterms:created>
  <dc:creator>Administrator</dc:creator>
  <cp:lastModifiedBy>盼盼</cp:lastModifiedBy>
  <cp:lastPrinted>2026-07-28T07:34:37Z</cp:lastPrinted>
  <dcterms:modified xsi:type="dcterms:W3CDTF">2026-07-28T08:12:36Z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48E8C2980B8D437A8DA97996F2467D89_13</vt:lpwstr>
  </property>
  <property fmtid="{D5CDD505-2E9C-101B-9397-08002B2CF9AE}" pid="4" name="KSOTemplateDocerSaveRecord">
    <vt:lpwstr>eyJoZGlkIjoiMzEwNTM5NzYwMDRjMzkwZTVkZjY2ODkwMGIxNGU0OTUiLCJ1c2VySWQiOiI2MDE4NjQ0NjIifQ==</vt:lpwstr>
  </property>
</Properties>
</file>