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54D18F">
      <w:pPr>
        <w:spacing w:line="360" w:lineRule="auto"/>
        <w:jc w:val="center"/>
        <w:rPr>
          <w:rFonts w:ascii="宋体" w:hAnsi="宋体"/>
          <w:b/>
          <w:color w:val="000000" w:themeColor="text1"/>
          <w:sz w:val="44"/>
          <w:shd w:val="clear" w:color="auto" w:fill="FFFFFF"/>
          <w14:textFill>
            <w14:solidFill>
              <w14:schemeClr w14:val="tx1"/>
            </w14:solidFill>
          </w14:textFill>
        </w:rPr>
      </w:pPr>
    </w:p>
    <w:p w14:paraId="37C57879">
      <w:pPr>
        <w:pStyle w:val="17"/>
        <w:spacing w:line="360" w:lineRule="auto"/>
        <w:ind w:firstLine="883"/>
        <w:jc w:val="center"/>
        <w:rPr>
          <w:rFonts w:ascii="宋体" w:hAnsi="宋体"/>
          <w:color w:val="000000" w:themeColor="text1"/>
          <w14:textFill>
            <w14:solidFill>
              <w14:schemeClr w14:val="tx1"/>
            </w14:solidFill>
          </w14:textFill>
        </w:rPr>
      </w:pPr>
      <w:r>
        <w:rPr>
          <w:rFonts w:hint="eastAsia" w:ascii="宋体" w:hAnsi="宋体" w:cs="宋体"/>
          <w:b/>
          <w:color w:val="000000" w:themeColor="text1"/>
          <w:sz w:val="44"/>
          <w:shd w:val="clear" w:color="auto" w:fill="FFFFFF"/>
          <w14:textFill>
            <w14:solidFill>
              <w14:schemeClr w14:val="tx1"/>
            </w14:solidFill>
          </w14:textFill>
        </w:rPr>
        <w:t>南京邮电大学材料科学与工程学院采购比表面积及孔径测试仪采购项目</w:t>
      </w:r>
    </w:p>
    <w:p w14:paraId="3A0260A3">
      <w:pPr>
        <w:pStyle w:val="17"/>
        <w:spacing w:line="360" w:lineRule="auto"/>
        <w:ind w:firstLine="480"/>
        <w:jc w:val="center"/>
        <w:rPr>
          <w:rFonts w:ascii="宋体" w:hAnsi="宋体"/>
          <w:color w:val="000000" w:themeColor="text1"/>
          <w14:textFill>
            <w14:solidFill>
              <w14:schemeClr w14:val="tx1"/>
            </w14:solidFill>
          </w14:textFill>
        </w:rPr>
      </w:pPr>
    </w:p>
    <w:p w14:paraId="7BAB2432">
      <w:pPr>
        <w:spacing w:line="360" w:lineRule="auto"/>
        <w:jc w:val="center"/>
        <w:rPr>
          <w:rFonts w:ascii="宋体" w:hAnsi="宋体" w:cs="宋体"/>
          <w:b/>
          <w:color w:val="000000" w:themeColor="text1"/>
          <w:sz w:val="32"/>
          <w:shd w:val="clear" w:color="auto" w:fill="FFFFFF"/>
          <w14:textFill>
            <w14:solidFill>
              <w14:schemeClr w14:val="tx1"/>
            </w14:solidFill>
          </w14:textFill>
        </w:rPr>
      </w:pPr>
    </w:p>
    <w:p w14:paraId="6F988C12">
      <w:pPr>
        <w:spacing w:line="360" w:lineRule="auto"/>
        <w:jc w:val="center"/>
        <w:rPr>
          <w:rFonts w:ascii="宋体" w:hAnsi="宋体" w:cs="宋体"/>
          <w:b/>
          <w:color w:val="000000" w:themeColor="text1"/>
          <w:sz w:val="32"/>
          <w:shd w:val="clear" w:color="auto" w:fill="FFFFFF"/>
          <w14:textFill>
            <w14:solidFill>
              <w14:schemeClr w14:val="tx1"/>
            </w14:solidFill>
          </w14:textFill>
        </w:rPr>
      </w:pPr>
    </w:p>
    <w:p w14:paraId="4A427CC2">
      <w:pPr>
        <w:spacing w:line="360" w:lineRule="auto"/>
        <w:jc w:val="center"/>
        <w:rPr>
          <w:rFonts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公开比选</w:t>
      </w:r>
      <w:r>
        <w:rPr>
          <w:rFonts w:ascii="宋体" w:hAnsi="宋体" w:cs="宋体"/>
          <w:b/>
          <w:color w:val="000000" w:themeColor="text1"/>
          <w:sz w:val="72"/>
          <w14:textFill>
            <w14:solidFill>
              <w14:schemeClr w14:val="tx1"/>
            </w14:solidFill>
          </w14:textFill>
        </w:rPr>
        <w:t>文件</w:t>
      </w:r>
    </w:p>
    <w:p w14:paraId="73B8FFCE">
      <w:pPr>
        <w:pStyle w:val="259"/>
        <w:ind w:firstLine="0"/>
        <w:jc w:val="center"/>
        <w:rPr>
          <w:rFonts w:asciiTheme="majorEastAsia" w:hAnsiTheme="majorEastAsia" w:eastAsiaTheme="majorEastAsia"/>
          <w:b/>
          <w:sz w:val="36"/>
          <w:szCs w:val="36"/>
          <w:highlight w:val="yellow"/>
        </w:rPr>
      </w:pPr>
      <w:r>
        <w:rPr>
          <w:rFonts w:hint="eastAsia" w:asciiTheme="majorEastAsia" w:hAnsiTheme="majorEastAsia" w:eastAsiaTheme="majorEastAsia"/>
          <w:b/>
          <w:sz w:val="36"/>
          <w:szCs w:val="36"/>
        </w:rPr>
        <w:t>项目编号</w:t>
      </w:r>
      <w:r>
        <w:rPr>
          <w:rFonts w:ascii="宋体" w:hAnsi="宋体" w:cs="宋体"/>
          <w:b/>
          <w:color w:val="000000" w:themeColor="text1"/>
          <w:sz w:val="28"/>
          <w14:textFill>
            <w14:solidFill>
              <w14:schemeClr w14:val="tx1"/>
            </w14:solidFill>
          </w14:textFill>
        </w:rPr>
        <w:t>：</w:t>
      </w:r>
      <w:r>
        <w:rPr>
          <w:rFonts w:hint="eastAsia" w:asciiTheme="majorEastAsia" w:hAnsiTheme="majorEastAsia" w:eastAsiaTheme="majorEastAsia"/>
          <w:b/>
          <w:sz w:val="36"/>
          <w:szCs w:val="36"/>
        </w:rPr>
        <w:t>NYCG2026-H030/GPDI-NJ-2026-04160</w:t>
      </w:r>
    </w:p>
    <w:p w14:paraId="1B3A802B">
      <w:pPr>
        <w:spacing w:line="360" w:lineRule="auto"/>
        <w:jc w:val="center"/>
        <w:rPr>
          <w:rFonts w:ascii="宋体" w:hAnsi="宋体" w:cs="宋体"/>
          <w:b/>
          <w:color w:val="000000" w:themeColor="text1"/>
          <w:sz w:val="36"/>
          <w14:textFill>
            <w14:solidFill>
              <w14:schemeClr w14:val="tx1"/>
            </w14:solidFill>
          </w14:textFill>
        </w:rPr>
      </w:pPr>
    </w:p>
    <w:p w14:paraId="2E53AEB0">
      <w:pPr>
        <w:spacing w:line="360" w:lineRule="auto"/>
        <w:jc w:val="center"/>
        <w:rPr>
          <w:rFonts w:ascii="宋体" w:hAnsi="宋体" w:cs="宋体"/>
          <w:b/>
          <w:color w:val="000000" w:themeColor="text1"/>
          <w:sz w:val="36"/>
          <w14:textFill>
            <w14:solidFill>
              <w14:schemeClr w14:val="tx1"/>
            </w14:solidFill>
          </w14:textFill>
        </w:rPr>
      </w:pPr>
    </w:p>
    <w:p w14:paraId="5B617133">
      <w:pPr>
        <w:spacing w:line="360" w:lineRule="auto"/>
        <w:jc w:val="center"/>
        <w:rPr>
          <w:rFonts w:ascii="宋体" w:hAnsi="宋体" w:cs="宋体"/>
          <w:b/>
          <w:color w:val="000000" w:themeColor="text1"/>
          <w:sz w:val="36"/>
          <w14:textFill>
            <w14:solidFill>
              <w14:schemeClr w14:val="tx1"/>
            </w14:solidFill>
          </w14:textFill>
        </w:rPr>
      </w:pPr>
    </w:p>
    <w:p w14:paraId="44409482">
      <w:pPr>
        <w:pStyle w:val="17"/>
        <w:spacing w:line="360" w:lineRule="auto"/>
        <w:ind w:firstLine="480"/>
        <w:jc w:val="center"/>
        <w:rPr>
          <w:rFonts w:ascii="宋体" w:hAnsi="宋体"/>
          <w:color w:val="000000" w:themeColor="text1"/>
          <w14:textFill>
            <w14:solidFill>
              <w14:schemeClr w14:val="tx1"/>
            </w14:solidFill>
          </w14:textFill>
        </w:rPr>
      </w:pPr>
    </w:p>
    <w:p w14:paraId="7C8E170A">
      <w:pP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t>采购人：</w:t>
      </w:r>
      <w:r>
        <w:rPr>
          <w:rFonts w:hint="eastAsia" w:ascii="宋体" w:hAnsi="宋体"/>
          <w:b/>
          <w:color w:val="000000" w:themeColor="text1"/>
          <w:sz w:val="36"/>
          <w:szCs w:val="36"/>
          <w14:textFill>
            <w14:solidFill>
              <w14:schemeClr w14:val="tx1"/>
            </w14:solidFill>
          </w14:textFill>
        </w:rPr>
        <w:t>南京邮电大学</w:t>
      </w:r>
    </w:p>
    <w:p w14:paraId="7216D656">
      <w:pPr>
        <w:spacing w:line="360" w:lineRule="auto"/>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采购</w:t>
      </w:r>
      <w:r>
        <w:rPr>
          <w:rFonts w:ascii="宋体" w:hAnsi="宋体" w:cs="宋体"/>
          <w:b/>
          <w:color w:val="000000" w:themeColor="text1"/>
          <w:sz w:val="36"/>
          <w14:textFill>
            <w14:solidFill>
              <w14:schemeClr w14:val="tx1"/>
            </w14:solidFill>
          </w14:textFill>
        </w:rPr>
        <w:t>代理机构：</w:t>
      </w:r>
      <w:r>
        <w:rPr>
          <w:rFonts w:hint="eastAsia" w:ascii="宋体" w:hAnsi="宋体" w:cs="宋体"/>
          <w:b/>
          <w:color w:val="000000" w:themeColor="text1"/>
          <w:sz w:val="36"/>
          <w14:textFill>
            <w14:solidFill>
              <w14:schemeClr w14:val="tx1"/>
            </w14:solidFill>
          </w14:textFill>
        </w:rPr>
        <w:t>广东省电信规划设计院有限公司</w:t>
      </w:r>
      <w:r>
        <w:rPr>
          <w:rFonts w:ascii="宋体" w:hAnsi="宋体" w:cs="宋体"/>
          <w:b/>
          <w:color w:val="000000" w:themeColor="text1"/>
          <w:sz w:val="36"/>
          <w14:textFill>
            <w14:solidFill>
              <w14:schemeClr w14:val="tx1"/>
            </w14:solidFill>
          </w14:textFill>
        </w:rPr>
        <w:t xml:space="preserve"> </w:t>
      </w:r>
    </w:p>
    <w:p w14:paraId="71299D3F">
      <w:pPr>
        <w:spacing w:line="360" w:lineRule="auto"/>
        <w:jc w:val="left"/>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t>日期：</w:t>
      </w:r>
      <w:r>
        <w:rPr>
          <w:rFonts w:hint="eastAsia" w:ascii="宋体" w:hAnsi="宋体" w:cs="宋体"/>
          <w:b/>
          <w:color w:val="000000" w:themeColor="text1"/>
          <w:sz w:val="36"/>
          <w14:textFill>
            <w14:solidFill>
              <w14:schemeClr w14:val="tx1"/>
            </w14:solidFill>
          </w14:textFill>
        </w:rPr>
        <w:t>二〇二六年七月</w:t>
      </w:r>
    </w:p>
    <w:p w14:paraId="64826B67">
      <w:pPr>
        <w:spacing w:line="360" w:lineRule="auto"/>
        <w:jc w:val="center"/>
        <w:outlineLvl w:val="0"/>
        <w:rPr>
          <w:rFonts w:ascii="宋体" w:hAnsi="宋体" w:cs="宋体"/>
          <w:b/>
          <w:color w:val="000000" w:themeColor="text1"/>
          <w:sz w:val="36"/>
          <w14:textFill>
            <w14:solidFill>
              <w14:schemeClr w14:val="tx1"/>
            </w14:solidFill>
          </w14:textFill>
        </w:rPr>
        <w:sectPr>
          <w:headerReference r:id="rId3" w:type="default"/>
          <w:pgSz w:w="11906" w:h="16838"/>
          <w:pgMar w:top="1134" w:right="1134" w:bottom="1134" w:left="1304" w:header="567" w:footer="907" w:gutter="0"/>
          <w:cols w:space="720" w:num="1"/>
          <w:docGrid w:linePitch="360" w:charSpace="0"/>
        </w:sectPr>
      </w:pPr>
    </w:p>
    <w:p w14:paraId="7A5F2F72">
      <w:pPr>
        <w:spacing w:line="360" w:lineRule="auto"/>
        <w:jc w:val="center"/>
        <w:outlineLvl w:val="0"/>
        <w:rPr>
          <w:rFonts w:ascii="宋体" w:hAnsi="宋体" w:cs="黑体"/>
          <w:b/>
          <w:color w:val="000000" w:themeColor="text1"/>
          <w:sz w:val="36"/>
          <w14:textFill>
            <w14:solidFill>
              <w14:schemeClr w14:val="tx1"/>
            </w14:solidFill>
          </w14:textFill>
        </w:rPr>
      </w:pPr>
      <w:r>
        <w:rPr>
          <w:rFonts w:hint="eastAsia" w:ascii="宋体" w:hAnsi="宋体" w:cs="黑体"/>
          <w:b/>
          <w:color w:val="000000" w:themeColor="text1"/>
          <w:sz w:val="36"/>
          <w:lang w:val="zh-CN"/>
          <w14:textFill>
            <w14:solidFill>
              <w14:schemeClr w14:val="tx1"/>
            </w14:solidFill>
          </w14:textFill>
        </w:rPr>
        <w:t>第一章</w:t>
      </w:r>
      <w:r>
        <w:rPr>
          <w:rFonts w:hint="eastAsia" w:ascii="宋体" w:hAnsi="宋体" w:cs="黑体"/>
          <w:b/>
          <w:color w:val="000000" w:themeColor="text1"/>
          <w:sz w:val="36"/>
          <w14:textFill>
            <w14:solidFill>
              <w14:schemeClr w14:val="tx1"/>
            </w14:solidFill>
          </w14:textFill>
        </w:rPr>
        <w:t xml:space="preserve"> 公开比选公告</w:t>
      </w:r>
    </w:p>
    <w:p w14:paraId="30AC313C">
      <w:pPr>
        <w:pStyle w:val="17"/>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项目基本情况</w:t>
      </w:r>
    </w:p>
    <w:p w14:paraId="58E99859">
      <w:pPr>
        <w:pStyle w:val="17"/>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项目编号：</w:t>
      </w:r>
      <w:r>
        <w:rPr>
          <w:rFonts w:hint="eastAsia" w:asciiTheme="majorEastAsia" w:hAnsiTheme="majorEastAsia" w:eastAsiaTheme="majorEastAsia"/>
          <w:szCs w:val="24"/>
        </w:rPr>
        <w:t>NYCG2026-H030/GPDI-NJ-2026-04160</w:t>
      </w:r>
      <w:r>
        <w:rPr>
          <w:color w:val="000000" w:themeColor="text1"/>
          <w14:textFill>
            <w14:solidFill>
              <w14:schemeClr w14:val="tx1"/>
            </w14:solidFill>
          </w14:textFill>
        </w:rPr>
        <w:t>；</w:t>
      </w:r>
    </w:p>
    <w:p w14:paraId="14866819">
      <w:pPr>
        <w:pStyle w:val="17"/>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项目名称：</w:t>
      </w:r>
      <w:r>
        <w:rPr>
          <w:rFonts w:hint="eastAsia" w:asciiTheme="majorEastAsia" w:hAnsiTheme="majorEastAsia" w:eastAsiaTheme="majorEastAsia"/>
          <w:szCs w:val="24"/>
        </w:rPr>
        <w:t>南京邮电大学材料科学与工程学院采购比表面积及孔径测试仪采购项目</w:t>
      </w:r>
      <w:r>
        <w:rPr>
          <w:color w:val="000000" w:themeColor="text1"/>
          <w14:textFill>
            <w14:solidFill>
              <w14:schemeClr w14:val="tx1"/>
            </w14:solidFill>
          </w14:textFill>
        </w:rPr>
        <w:t>；</w:t>
      </w:r>
    </w:p>
    <w:p w14:paraId="035451CA">
      <w:pPr>
        <w:pStyle w:val="17"/>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预算金额：</w:t>
      </w:r>
      <w:r>
        <w:rPr>
          <w:rFonts w:hint="eastAsia"/>
          <w:color w:val="000000" w:themeColor="text1"/>
          <w14:textFill>
            <w14:solidFill>
              <w14:schemeClr w14:val="tx1"/>
            </w14:solidFill>
          </w14:textFill>
        </w:rPr>
        <w:t>40</w:t>
      </w:r>
      <w:r>
        <w:rPr>
          <w:color w:val="000000" w:themeColor="text1"/>
          <w14:textFill>
            <w14:solidFill>
              <w14:schemeClr w14:val="tx1"/>
            </w14:solidFill>
          </w14:textFill>
        </w:rPr>
        <w:t>万元；</w:t>
      </w:r>
    </w:p>
    <w:p w14:paraId="54D26987">
      <w:pPr>
        <w:pStyle w:val="17"/>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最高限价：</w:t>
      </w:r>
      <w:r>
        <w:rPr>
          <w:rFonts w:hint="eastAsia"/>
          <w:color w:val="000000" w:themeColor="text1"/>
          <w14:textFill>
            <w14:solidFill>
              <w14:schemeClr w14:val="tx1"/>
            </w14:solidFill>
          </w14:textFill>
        </w:rPr>
        <w:t>40</w:t>
      </w:r>
      <w:r>
        <w:rPr>
          <w:color w:val="000000" w:themeColor="text1"/>
          <w14:textFill>
            <w14:solidFill>
              <w14:schemeClr w14:val="tx1"/>
            </w14:solidFill>
          </w14:textFill>
        </w:rPr>
        <w:t>万元</w:t>
      </w:r>
      <w:r>
        <w:rPr>
          <w:rFonts w:hint="eastAsia"/>
          <w:color w:val="000000" w:themeColor="text1"/>
          <w14:textFill>
            <w14:solidFill>
              <w14:schemeClr w14:val="tx1"/>
            </w14:solidFill>
          </w14:textFill>
        </w:rPr>
        <w:t>，响应报价超过单价最高限价的，响应文件作无效处理。</w:t>
      </w:r>
    </w:p>
    <w:p w14:paraId="27275443">
      <w:pPr>
        <w:pStyle w:val="17"/>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采购方式：公开</w:t>
      </w:r>
      <w:r>
        <w:rPr>
          <w:rFonts w:hint="eastAsia"/>
          <w:color w:val="000000" w:themeColor="text1"/>
          <w14:textFill>
            <w14:solidFill>
              <w14:schemeClr w14:val="tx1"/>
            </w14:solidFill>
          </w14:textFill>
        </w:rPr>
        <w:t>比选</w:t>
      </w:r>
      <w:r>
        <w:rPr>
          <w:color w:val="000000" w:themeColor="text1"/>
          <w14:textFill>
            <w14:solidFill>
              <w14:schemeClr w14:val="tx1"/>
            </w14:solidFill>
          </w14:textFill>
        </w:rPr>
        <w:t>；</w:t>
      </w:r>
    </w:p>
    <w:p w14:paraId="2AD84E41">
      <w:pPr>
        <w:pStyle w:val="17"/>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采购需求：</w:t>
      </w:r>
      <w:r>
        <w:rPr>
          <w:rFonts w:hint="eastAsia" w:asciiTheme="majorEastAsia" w:hAnsiTheme="majorEastAsia" w:eastAsiaTheme="majorEastAsia"/>
          <w:szCs w:val="24"/>
        </w:rPr>
        <w:t>南京邮电大学材料科学与工程学院采购比表面积及孔径测试仪采购项目</w:t>
      </w:r>
      <w:r>
        <w:rPr>
          <w:color w:val="000000" w:themeColor="text1"/>
          <w14:textFill>
            <w14:solidFill>
              <w14:schemeClr w14:val="tx1"/>
            </w14:solidFill>
          </w14:textFill>
        </w:rPr>
        <w:t>，具体详见采购文件。</w:t>
      </w:r>
    </w:p>
    <w:p w14:paraId="473EEB21">
      <w:pPr>
        <w:pStyle w:val="17"/>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合同履行期限：</w:t>
      </w:r>
      <w:r>
        <w:rPr>
          <w:rFonts w:hint="eastAsia"/>
          <w:color w:val="000000" w:themeColor="text1"/>
          <w14:textFill>
            <w14:solidFill>
              <w14:schemeClr w14:val="tx1"/>
            </w14:solidFill>
          </w14:textFill>
        </w:rPr>
        <w:t>合同签订后</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个月内</w:t>
      </w:r>
      <w:r>
        <w:rPr>
          <w:rFonts w:hint="eastAsia" w:ascii="宋体" w:hAnsi="宋体" w:cs="宋体"/>
          <w:szCs w:val="24"/>
          <w:lang w:bidi="ar"/>
        </w:rPr>
        <w:t>完成供货、安装、调试及交付使用。</w:t>
      </w:r>
    </w:p>
    <w:p w14:paraId="53CF30D2">
      <w:pPr>
        <w:pStyle w:val="17"/>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本项目是否接受联合体响应：不接受。</w:t>
      </w:r>
    </w:p>
    <w:p w14:paraId="4E90CE57">
      <w:pPr>
        <w:pStyle w:val="17"/>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本项目是否接受进口产品响应：不接受。</w:t>
      </w:r>
    </w:p>
    <w:p w14:paraId="2448C895">
      <w:pPr>
        <w:pStyle w:val="17"/>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申请人的资格要求：</w:t>
      </w:r>
    </w:p>
    <w:p w14:paraId="1743C1F7">
      <w:pPr>
        <w:pStyle w:val="17"/>
        <w:numPr>
          <w:ilvl w:val="0"/>
          <w:numId w:val="4"/>
        </w:numPr>
        <w:spacing w:line="360" w:lineRule="auto"/>
        <w:ind w:firstLineChars="0"/>
        <w:rPr>
          <w:bCs/>
          <w:color w:val="000000" w:themeColor="text1"/>
          <w14:textFill>
            <w14:solidFill>
              <w14:schemeClr w14:val="tx1"/>
            </w14:solidFill>
          </w14:textFill>
        </w:rPr>
      </w:pPr>
      <w:r>
        <w:rPr>
          <w:bCs/>
          <w:color w:val="000000" w:themeColor="text1"/>
          <w14:textFill>
            <w14:solidFill>
              <w14:schemeClr w14:val="tx1"/>
            </w14:solidFill>
          </w14:textFill>
        </w:rPr>
        <w:t>满足《中华人民共和国政府采购法》第二十二条规定：</w:t>
      </w:r>
    </w:p>
    <w:p w14:paraId="1D74DF4C">
      <w:pPr>
        <w:pStyle w:val="17"/>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具有独立承担民事责任的能力（提供法人或者其他组织的营业执照</w:t>
      </w:r>
      <w:r>
        <w:rPr>
          <w:rFonts w:hint="eastAsia"/>
          <w:color w:val="000000" w:themeColor="text1"/>
          <w14:textFill>
            <w14:solidFill>
              <w14:schemeClr w14:val="tx1"/>
            </w14:solidFill>
          </w14:textFill>
        </w:rPr>
        <w:t>等证明材料</w:t>
      </w:r>
      <w:r>
        <w:rPr>
          <w:color w:val="000000" w:themeColor="text1"/>
          <w14:textFill>
            <w14:solidFill>
              <w14:schemeClr w14:val="tx1"/>
            </w14:solidFill>
          </w14:textFill>
        </w:rPr>
        <w:t>复印件加盖公章，自然人的身份证复印件加盖公章）；</w:t>
      </w:r>
    </w:p>
    <w:p w14:paraId="27A733CA">
      <w:pPr>
        <w:pStyle w:val="17"/>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具有良好的商业信誉和健全的财务会计制度（提供</w:t>
      </w:r>
      <w:r>
        <w:rPr>
          <w:rFonts w:hint="eastAsia"/>
          <w:color w:val="000000" w:themeColor="text1"/>
          <w14:textFill>
            <w14:solidFill>
              <w14:schemeClr w14:val="tx1"/>
            </w14:solidFill>
          </w14:textFill>
        </w:rPr>
        <w:t>2025年度</w:t>
      </w:r>
      <w:r>
        <w:rPr>
          <w:color w:val="000000" w:themeColor="text1"/>
          <w14:textFill>
            <w14:solidFill>
              <w14:schemeClr w14:val="tx1"/>
            </w14:solidFill>
          </w14:textFill>
        </w:rPr>
        <w:t>的审计报告复印件加盖公章或响应截止时间前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（2026年1月至2026年6月</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的无须提供）；</w:t>
      </w:r>
    </w:p>
    <w:p w14:paraId="547A834E">
      <w:pPr>
        <w:pStyle w:val="17"/>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具有履行合同所必需的设备和专业技术能力（根据项目需求提供履行合同所必需的设备和专业技术能力的声明函或证明材料）（格式见后附件）；</w:t>
      </w:r>
    </w:p>
    <w:p w14:paraId="7B0C26A4">
      <w:pPr>
        <w:pStyle w:val="17"/>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有依法缴纳税收和社会保障资金的良好记录（提供响应截止时间前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（2026年1月至2026年6月</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1C336395">
      <w:pPr>
        <w:pStyle w:val="17"/>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7A80044C">
      <w:pPr>
        <w:pStyle w:val="17"/>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法律、行政法规规定的其他条件：无。</w:t>
      </w:r>
    </w:p>
    <w:p w14:paraId="1C31C827">
      <w:pPr>
        <w:pStyle w:val="17"/>
        <w:numPr>
          <w:ilvl w:val="0"/>
          <w:numId w:val="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本项目的特定资格要求：</w:t>
      </w:r>
      <w:r>
        <w:rPr>
          <w:rFonts w:hint="eastAsia"/>
          <w:color w:val="000000" w:themeColor="text1"/>
          <w14:textFill>
            <w14:solidFill>
              <w14:schemeClr w14:val="tx1"/>
            </w14:solidFill>
          </w14:textFill>
        </w:rPr>
        <w:t>无。</w:t>
      </w:r>
    </w:p>
    <w:p w14:paraId="3CD8536A">
      <w:pPr>
        <w:pStyle w:val="17"/>
        <w:numPr>
          <w:ilvl w:val="0"/>
          <w:numId w:val="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拒绝下述供应商参加本次</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w:t>
      </w:r>
    </w:p>
    <w:p w14:paraId="5204DBC7">
      <w:pPr>
        <w:pStyle w:val="17"/>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①</w:t>
      </w:r>
      <w:r>
        <w:rPr>
          <w:color w:val="000000" w:themeColor="text1"/>
          <w14:textFill>
            <w14:solidFill>
              <w14:schemeClr w14:val="tx1"/>
            </w14:solidFill>
          </w14:textFill>
        </w:rPr>
        <w:t>供应商单位负责人为同一人或者存在直接控股、管理关系的不同供应商，不得参加同一合同项下的采购或采购活动；</w:t>
      </w:r>
    </w:p>
    <w:p w14:paraId="1F704C11">
      <w:pPr>
        <w:pStyle w:val="17"/>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②</w:t>
      </w:r>
      <w:r>
        <w:rPr>
          <w:color w:val="000000" w:themeColor="text1"/>
          <w14:textFill>
            <w14:solidFill>
              <w14:schemeClr w14:val="tx1"/>
            </w14:solidFill>
          </w14:textFill>
        </w:rPr>
        <w:t>凡为本项目提供整体设计、规范编制或者项目管理、检测等服务的供应商，不得再参加本项目的采购或采购活动；</w:t>
      </w:r>
    </w:p>
    <w:p w14:paraId="3222FBCC">
      <w:pPr>
        <w:pStyle w:val="17"/>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③</w:t>
      </w: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网站（www.creditchina.gov.cn）列入失信被执行人、重大税收违法失信主体、</w:t>
      </w:r>
      <w:r>
        <w:rPr>
          <w:rFonts w:hint="eastAsia"/>
          <w:color w:val="000000" w:themeColor="text1"/>
          <w:lang w:eastAsia="zh-CN"/>
          <w14:textFill>
            <w14:solidFill>
              <w14:schemeClr w14:val="tx1"/>
            </w14:solidFill>
          </w14:textFill>
        </w:rPr>
        <w:t>政府采购政府采购严重违法失信行为记录名单。</w:t>
      </w:r>
    </w:p>
    <w:p w14:paraId="03228FDD">
      <w:pPr>
        <w:pStyle w:val="17"/>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获取采购文件</w:t>
      </w:r>
    </w:p>
    <w:p w14:paraId="5FF5C116">
      <w:pPr>
        <w:pStyle w:val="17"/>
        <w:numPr>
          <w:ilvl w:val="0"/>
          <w:numId w:val="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22</w:t>
      </w:r>
      <w:r>
        <w:rPr>
          <w:color w:val="000000" w:themeColor="text1"/>
          <w:highlight w:val="none"/>
          <w14:textFill>
            <w14:solidFill>
              <w14:schemeClr w14:val="tx1"/>
            </w14:solidFill>
          </w14:textFill>
        </w:rPr>
        <w:t>日上午09:00至202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28</w:t>
      </w:r>
      <w:r>
        <w:rPr>
          <w:color w:val="000000" w:themeColor="text1"/>
          <w:highlight w:val="none"/>
          <w14:textFill>
            <w14:solidFill>
              <w14:schemeClr w14:val="tx1"/>
            </w14:solidFill>
          </w14:textFill>
        </w:rPr>
        <w:t>日17:00（北京时间）</w:t>
      </w:r>
    </w:p>
    <w:p w14:paraId="71FD64D9">
      <w:pPr>
        <w:pStyle w:val="17"/>
        <w:numPr>
          <w:ilvl w:val="0"/>
          <w:numId w:val="6"/>
        </w:numPr>
        <w:spacing w:line="360" w:lineRule="auto"/>
        <w:ind w:firstLineChars="0"/>
        <w:rPr>
          <w:rFonts w:asciiTheme="majorEastAsia" w:hAnsiTheme="majorEastAsia" w:eastAsiaTheme="majorEastAsia"/>
          <w:szCs w:val="24"/>
        </w:rPr>
      </w:pPr>
      <w:r>
        <w:rPr>
          <w:color w:val="000000" w:themeColor="text1"/>
          <w14:textFill>
            <w14:solidFill>
              <w14:schemeClr w14:val="tx1"/>
            </w14:solidFill>
          </w14:textFill>
        </w:rPr>
        <w:t xml:space="preserve">获取方式： </w:t>
      </w:r>
      <w:r>
        <w:rPr>
          <w:rFonts w:asciiTheme="majorEastAsia" w:hAnsiTheme="majorEastAsia" w:eastAsiaTheme="majorEastAsia"/>
          <w:szCs w:val="24"/>
        </w:rPr>
        <w:t>通过“</w:t>
      </w:r>
      <w:r>
        <w:rPr>
          <w:rFonts w:hint="eastAsia" w:asciiTheme="majorEastAsia" w:hAnsiTheme="majorEastAsia" w:eastAsiaTheme="majorEastAsia"/>
          <w:szCs w:val="24"/>
        </w:rPr>
        <w:t>采购</w:t>
      </w:r>
      <w:r>
        <w:rPr>
          <w:rFonts w:asciiTheme="majorEastAsia" w:hAnsiTheme="majorEastAsia" w:eastAsiaTheme="majorEastAsia"/>
          <w:szCs w:val="24"/>
        </w:rPr>
        <w:t>代理机构”的电子平台获取</w:t>
      </w:r>
      <w:r>
        <w:rPr>
          <w:rFonts w:hint="eastAsia" w:asciiTheme="majorEastAsia" w:hAnsiTheme="majorEastAsia" w:eastAsiaTheme="majorEastAsia"/>
          <w:szCs w:val="24"/>
        </w:rPr>
        <w:t>公开比选</w:t>
      </w:r>
      <w:r>
        <w:rPr>
          <w:rFonts w:asciiTheme="majorEastAsia" w:hAnsiTheme="majorEastAsia" w:eastAsiaTheme="majorEastAsia"/>
          <w:szCs w:val="24"/>
        </w:rPr>
        <w:t>文件。</w:t>
      </w:r>
    </w:p>
    <w:p w14:paraId="2112D358">
      <w:pPr>
        <w:adjustRightInd w:val="0"/>
        <w:snapToGrid w:val="0"/>
        <w:spacing w:line="360" w:lineRule="auto"/>
        <w:ind w:firstLine="480" w:firstLineChars="200"/>
        <w:jc w:val="left"/>
        <w:rPr>
          <w:rFonts w:asciiTheme="majorEastAsia" w:hAnsiTheme="majorEastAsia" w:eastAsiaTheme="majorEastAsia"/>
          <w:sz w:val="24"/>
          <w:szCs w:val="24"/>
        </w:rPr>
      </w:pPr>
      <w:r>
        <w:rPr>
          <w:rFonts w:asciiTheme="majorEastAsia" w:hAnsiTheme="majorEastAsia" w:eastAsiaTheme="majorEastAsia"/>
          <w:sz w:val="24"/>
          <w:szCs w:val="24"/>
        </w:rPr>
        <w:t>方式：线上购买，售价 500 元（人民币），售后不退。通过“</w:t>
      </w:r>
      <w:r>
        <w:rPr>
          <w:rFonts w:hint="eastAsia" w:asciiTheme="majorEastAsia" w:hAnsiTheme="majorEastAsia" w:eastAsiaTheme="majorEastAsia"/>
          <w:sz w:val="24"/>
          <w:szCs w:val="24"/>
        </w:rPr>
        <w:t>采购</w:t>
      </w:r>
      <w:r>
        <w:rPr>
          <w:rFonts w:asciiTheme="majorEastAsia" w:hAnsiTheme="majorEastAsia" w:eastAsiaTheme="majorEastAsia"/>
          <w:sz w:val="24"/>
          <w:szCs w:val="24"/>
        </w:rPr>
        <w:t>代理机构”的电子平台进行文件费支付及网上获取比选文件。通过以下两种方式之一（a或b）即可进行费用支付。</w:t>
      </w:r>
    </w:p>
    <w:p w14:paraId="6A4289D8">
      <w:pPr>
        <w:adjustRightInd w:val="0"/>
        <w:snapToGrid w:val="0"/>
        <w:spacing w:line="360" w:lineRule="auto"/>
        <w:ind w:firstLine="482" w:firstLineChars="200"/>
        <w:jc w:val="left"/>
        <w:rPr>
          <w:rFonts w:asciiTheme="majorEastAsia" w:hAnsiTheme="majorEastAsia" w:eastAsiaTheme="majorEastAsia"/>
          <w:sz w:val="24"/>
          <w:szCs w:val="24"/>
        </w:rPr>
      </w:pPr>
      <w:r>
        <w:rPr>
          <w:rFonts w:asciiTheme="majorEastAsia" w:hAnsiTheme="majorEastAsia" w:eastAsiaTheme="majorEastAsia"/>
          <w:b/>
          <w:bCs/>
          <w:sz w:val="24"/>
          <w:szCs w:val="24"/>
        </w:rPr>
        <w:t>a.手机端：</w:t>
      </w:r>
      <w:r>
        <w:rPr>
          <w:rFonts w:asciiTheme="majorEastAsia" w:hAnsiTheme="majorEastAsia" w:eastAsiaTheme="majorEastAsia"/>
          <w:sz w:val="24"/>
          <w:szCs w:val="24"/>
        </w:rPr>
        <w:t>获取时间内关注微信公众号“采易招”点击“公共服务”</w:t>
      </w:r>
      <w:r>
        <w:rPr>
          <w:rFonts w:hint="eastAsia" w:asciiTheme="majorEastAsia" w:hAnsiTheme="majorEastAsia" w:eastAsiaTheme="majorEastAsia"/>
          <w:sz w:val="24"/>
          <w:szCs w:val="24"/>
        </w:rPr>
        <w:t>－</w:t>
      </w:r>
      <w:r>
        <w:rPr>
          <w:rFonts w:asciiTheme="majorEastAsia" w:hAnsiTheme="majorEastAsia" w:eastAsiaTheme="majorEastAsia"/>
          <w:sz w:val="24"/>
          <w:szCs w:val="24"/>
        </w:rPr>
        <w:t>“投标登记”</w:t>
      </w:r>
      <w:r>
        <w:rPr>
          <w:rFonts w:hint="eastAsia" w:asciiTheme="majorEastAsia" w:hAnsiTheme="majorEastAsia" w:eastAsiaTheme="majorEastAsia"/>
          <w:sz w:val="24"/>
          <w:szCs w:val="24"/>
        </w:rPr>
        <w:t>－</w:t>
      </w:r>
      <w:r>
        <w:rPr>
          <w:rFonts w:asciiTheme="majorEastAsia" w:hAnsiTheme="majorEastAsia" w:eastAsiaTheme="majorEastAsia"/>
          <w:sz w:val="24"/>
          <w:szCs w:val="24"/>
        </w:rPr>
        <w:t>“公开项目/邀请项目”找到相应的项目进行登记，并进行报名材料上传及支付。</w:t>
      </w:r>
    </w:p>
    <w:p w14:paraId="15AF0A20">
      <w:pPr>
        <w:adjustRightInd w:val="0"/>
        <w:snapToGrid w:val="0"/>
        <w:spacing w:line="360" w:lineRule="auto"/>
        <w:ind w:firstLine="482" w:firstLineChars="200"/>
        <w:jc w:val="left"/>
        <w:rPr>
          <w:rFonts w:asciiTheme="majorEastAsia" w:hAnsiTheme="majorEastAsia" w:eastAsiaTheme="majorEastAsia"/>
          <w:sz w:val="24"/>
          <w:szCs w:val="24"/>
        </w:rPr>
      </w:pPr>
      <w:r>
        <w:rPr>
          <w:rFonts w:asciiTheme="majorEastAsia" w:hAnsiTheme="majorEastAsia" w:eastAsiaTheme="majorEastAsia"/>
          <w:b/>
          <w:bCs/>
          <w:sz w:val="24"/>
          <w:szCs w:val="24"/>
        </w:rPr>
        <w:t>b.PC端：</w:t>
      </w:r>
      <w:r>
        <w:rPr>
          <w:rFonts w:hint="eastAsia" w:asciiTheme="majorEastAsia" w:hAnsiTheme="majorEastAsia" w:eastAsiaTheme="majorEastAsia"/>
          <w:sz w:val="24"/>
          <w:szCs w:val="24"/>
        </w:rPr>
        <w:t>输入“采易招”网址（https://www.gpdi.com/homepage)，注册登录（步骤</w:t>
      </w:r>
    </w:p>
    <w:p w14:paraId="77241B41">
      <w:pPr>
        <w:adjustRightInd w:val="0"/>
        <w:snapToGrid w:val="0"/>
        <w:spacing w:line="360" w:lineRule="auto"/>
        <w:jc w:val="left"/>
        <w:rPr>
          <w:rFonts w:asciiTheme="majorEastAsia" w:hAnsiTheme="majorEastAsia" w:eastAsiaTheme="majorEastAsia"/>
          <w:sz w:val="24"/>
          <w:szCs w:val="24"/>
        </w:rPr>
      </w:pPr>
      <w:r>
        <w:rPr>
          <w:rFonts w:hint="eastAsia" w:asciiTheme="majorEastAsia" w:hAnsiTheme="majorEastAsia" w:eastAsiaTheme="majorEastAsia"/>
          <w:sz w:val="24"/>
          <w:szCs w:val="24"/>
        </w:rPr>
        <w:t>详细操作指引见“采易招”电子采购与招标平台(https://www.gpdi.com/homepage)--服务指南--供应商操作手册）后，点击“我要报名”找到相应的项目进行登记，并进行报名材料上传及支付、文件的自助获取。</w:t>
      </w:r>
    </w:p>
    <w:p w14:paraId="3F367E34">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注:“采易招”IT 支撑QQ:2604586483（工作日9:00-12:00，下午2:30-5:30），该QQ仅解决“采易</w:t>
      </w:r>
      <w:r>
        <w:rPr>
          <w:rFonts w:asciiTheme="majorEastAsia" w:hAnsiTheme="majorEastAsia" w:eastAsiaTheme="majorEastAsia"/>
          <w:sz w:val="24"/>
          <w:szCs w:val="24"/>
        </w:rPr>
        <w:t>招</w:t>
      </w:r>
      <w:r>
        <w:rPr>
          <w:rFonts w:hint="eastAsia" w:asciiTheme="majorEastAsia" w:hAnsiTheme="majorEastAsia" w:eastAsiaTheme="majorEastAsia"/>
          <w:sz w:val="24"/>
          <w:szCs w:val="24"/>
        </w:rPr>
        <w:t>”系统问题，业务相关问题请详询公告“八、对本次采购提出询问，请按以下方式联系。”中的联系。</w:t>
      </w:r>
    </w:p>
    <w:p w14:paraId="289478D1">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未按照上述要求合法获取采购文件的，采购人将不予受理其响应。</w:t>
      </w:r>
    </w:p>
    <w:p w14:paraId="62EBC14A">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售价：500元，本</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公告包含的采购文件售价总和。</w:t>
      </w:r>
    </w:p>
    <w:p w14:paraId="09632C25">
      <w:pPr>
        <w:pStyle w:val="17"/>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提交响应文件截止时间、</w:t>
      </w:r>
      <w:r>
        <w:rPr>
          <w:rFonts w:hint="eastAsia"/>
          <w:b/>
          <w:color w:val="000000" w:themeColor="text1"/>
          <w14:textFill>
            <w14:solidFill>
              <w14:schemeClr w14:val="tx1"/>
            </w14:solidFill>
          </w14:textFill>
        </w:rPr>
        <w:t>响应文件开启</w:t>
      </w:r>
      <w:r>
        <w:rPr>
          <w:b/>
          <w:color w:val="000000" w:themeColor="text1"/>
          <w14:textFill>
            <w14:solidFill>
              <w14:schemeClr w14:val="tx1"/>
            </w14:solidFill>
          </w14:textFill>
        </w:rPr>
        <w:t>时间和地点</w:t>
      </w:r>
    </w:p>
    <w:p w14:paraId="3CA14F60">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14:textFill>
            <w14:solidFill>
              <w14:schemeClr w14:val="tx1"/>
            </w14:solidFill>
          </w14:textFill>
        </w:rPr>
        <w:t>7</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30</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8</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3</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136ED7BD">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14:textFill>
            <w14:solidFill>
              <w14:schemeClr w14:val="tx1"/>
            </w14:solidFill>
          </w14:textFill>
        </w:rPr>
        <w:t>7</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30</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9</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1E573A8A">
      <w:pPr>
        <w:pStyle w:val="17"/>
        <w:spacing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地点：</w:t>
      </w:r>
      <w:r>
        <w:rPr>
          <w:rFonts w:hint="eastAsia"/>
          <w:strike w:val="0"/>
          <w:dstrike w:val="0"/>
          <w:color w:val="000000" w:themeColor="text1"/>
          <w:highlight w:val="none"/>
          <w:u w:val="single"/>
          <w14:textFill>
            <w14:solidFill>
              <w14:schemeClr w14:val="tx1"/>
            </w14:solidFill>
          </w14:textFill>
        </w:rPr>
        <w:t>南京邮电大学仙林校区行政南楼1</w:t>
      </w:r>
      <w:r>
        <w:rPr>
          <w:rFonts w:hint="eastAsia"/>
          <w:strike w:val="0"/>
          <w:dstrike w:val="0"/>
          <w:color w:val="000000" w:themeColor="text1"/>
          <w:highlight w:val="none"/>
          <w:u w:val="single"/>
          <w:lang w:val="en-US" w:eastAsia="zh-CN"/>
          <w14:textFill>
            <w14:solidFill>
              <w14:schemeClr w14:val="tx1"/>
            </w14:solidFill>
          </w14:textFill>
        </w:rPr>
        <w:t>4</w:t>
      </w:r>
      <w:r>
        <w:rPr>
          <w:rFonts w:hint="eastAsia"/>
          <w:strike w:val="0"/>
          <w:dstrike w:val="0"/>
          <w:color w:val="000000" w:themeColor="text1"/>
          <w:highlight w:val="none"/>
          <w:u w:val="single"/>
          <w14:textFill>
            <w14:solidFill>
              <w14:schemeClr w14:val="tx1"/>
            </w14:solidFill>
          </w14:textFill>
        </w:rPr>
        <w:t>6室（南京市栖霞区文苑路9号）</w:t>
      </w:r>
      <w:r>
        <w:rPr>
          <w:strike w:val="0"/>
          <w:dstrike w:val="0"/>
          <w:color w:val="000000" w:themeColor="text1"/>
          <w:highlight w:val="none"/>
          <w:u w:val="single"/>
          <w14:textFill>
            <w14:solidFill>
              <w14:schemeClr w14:val="tx1"/>
            </w14:solidFill>
          </w14:textFill>
        </w:rPr>
        <w:t>；</w:t>
      </w:r>
    </w:p>
    <w:p w14:paraId="136D818C">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届时请</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法定代表人或其委托授权代表出席</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仪式。</w:t>
      </w:r>
    </w:p>
    <w:p w14:paraId="6B0FA149">
      <w:pPr>
        <w:pStyle w:val="17"/>
        <w:numPr>
          <w:ilvl w:val="0"/>
          <w:numId w:val="2"/>
        </w:numPr>
        <w:spacing w:line="360" w:lineRule="auto"/>
        <w:ind w:firstLineChars="0"/>
        <w:rPr>
          <w:b/>
          <w:color w:val="000000" w:themeColor="text1"/>
          <w14:textFill>
            <w14:solidFill>
              <w14:schemeClr w14:val="tx1"/>
            </w14:solidFill>
          </w14:textFill>
        </w:rPr>
      </w:pPr>
      <w:bookmarkStart w:id="0" w:name="六、公告期限"/>
      <w:bookmarkEnd w:id="0"/>
      <w:r>
        <w:rPr>
          <w:b/>
          <w:color w:val="000000" w:themeColor="text1"/>
          <w14:textFill>
            <w14:solidFill>
              <w14:schemeClr w14:val="tx1"/>
            </w14:solidFill>
          </w14:textFill>
        </w:rPr>
        <w:t>公告期限</w:t>
      </w:r>
    </w:p>
    <w:p w14:paraId="51AB6E05">
      <w:pPr>
        <w:pStyle w:val="17"/>
        <w:spacing w:line="360" w:lineRule="auto"/>
        <w:ind w:firstLine="480"/>
        <w:rPr>
          <w:color w:val="000000" w:themeColor="text1"/>
          <w14:textFill>
            <w14:solidFill>
              <w14:schemeClr w14:val="tx1"/>
            </w14:solidFill>
          </w14:textFill>
        </w:rPr>
      </w:pPr>
      <w:bookmarkStart w:id="1" w:name="自本公告发布之日起5个工作日。"/>
      <w:bookmarkEnd w:id="1"/>
      <w:r>
        <w:rPr>
          <w:color w:val="000000" w:themeColor="text1"/>
          <w14:textFill>
            <w14:solidFill>
              <w14:schemeClr w14:val="tx1"/>
            </w14:solidFill>
          </w14:textFill>
        </w:rPr>
        <w:t>自本公告发布之日起5日。</w:t>
      </w:r>
    </w:p>
    <w:p w14:paraId="38A8A370">
      <w:pPr>
        <w:pStyle w:val="17"/>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其他补充事宜</w:t>
      </w:r>
    </w:p>
    <w:p w14:paraId="3892CF90">
      <w:pPr>
        <w:pStyle w:val="17"/>
        <w:numPr>
          <w:ilvl w:val="0"/>
          <w:numId w:val="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需承担前述不一致造成的不利后果。每份纸质文件须清楚标明</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正本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或</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副本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字样。一旦正本和副本不符，以正本为准。</w:t>
      </w:r>
    </w:p>
    <w:p w14:paraId="733192EA">
      <w:pPr>
        <w:pStyle w:val="17"/>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发布公告的媒介</w:t>
      </w:r>
    </w:p>
    <w:p w14:paraId="4FDDFF69">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本采购公告在南京邮电大学</w:t>
      </w:r>
      <w:r>
        <w:rPr>
          <w:rFonts w:hint="eastAsia"/>
          <w:color w:val="000000" w:themeColor="text1"/>
          <w14:textFill>
            <w14:solidFill>
              <w14:schemeClr w14:val="tx1"/>
            </w14:solidFill>
          </w14:textFill>
        </w:rPr>
        <w:t>采购招标管理办公室</w:t>
      </w:r>
      <w:r>
        <w:rPr>
          <w:color w:val="000000" w:themeColor="text1"/>
          <w14:textFill>
            <w14:solidFill>
              <w14:schemeClr w14:val="tx1"/>
            </w14:solidFill>
          </w14:textFill>
        </w:rPr>
        <w:t>网站（https://zbb.njupt.edu.cn</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发布，敬请各</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关注。</w:t>
      </w:r>
    </w:p>
    <w:p w14:paraId="129C4846">
      <w:pPr>
        <w:pStyle w:val="17"/>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对本次采购提出询问，请按以下方式联系。</w:t>
      </w:r>
    </w:p>
    <w:p w14:paraId="108D52D7">
      <w:pPr>
        <w:pStyle w:val="17"/>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采购人信息</w:t>
      </w:r>
    </w:p>
    <w:p w14:paraId="18AFB86E">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名称：南京邮电大学</w:t>
      </w:r>
    </w:p>
    <w:p w14:paraId="284321E3">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地址：南京市栖霞区文苑路9号</w:t>
      </w:r>
    </w:p>
    <w:p w14:paraId="3277D7B5">
      <w:pPr>
        <w:pStyle w:val="17"/>
        <w:spacing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联系人：</w:t>
      </w:r>
      <w:r>
        <w:rPr>
          <w:rFonts w:hint="eastAsia"/>
          <w:color w:val="000000" w:themeColor="text1"/>
          <w14:textFill>
            <w14:solidFill>
              <w14:schemeClr w14:val="tx1"/>
            </w14:solidFill>
          </w14:textFill>
        </w:rPr>
        <w:t>彭</w:t>
      </w:r>
      <w:r>
        <w:rPr>
          <w:color w:val="000000" w:themeColor="text1"/>
          <w14:textFill>
            <w14:solidFill>
              <w14:schemeClr w14:val="tx1"/>
            </w14:solidFill>
          </w14:textFill>
        </w:rPr>
        <w:t>老师</w:t>
      </w:r>
    </w:p>
    <w:p w14:paraId="3A9B1737">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联系方式：</w:t>
      </w:r>
      <w:r>
        <w:rPr>
          <w:rFonts w:hint="eastAsia"/>
          <w:color w:val="000000" w:themeColor="text1"/>
          <w14:textFill>
            <w14:solidFill>
              <w14:schemeClr w14:val="tx1"/>
            </w14:solidFill>
          </w14:textFill>
        </w:rPr>
        <w:t>025-85866541</w:t>
      </w:r>
    </w:p>
    <w:p w14:paraId="6AD6785D">
      <w:pPr>
        <w:pStyle w:val="17"/>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color w:val="000000" w:themeColor="text1"/>
          <w14:textFill>
            <w14:solidFill>
              <w14:schemeClr w14:val="tx1"/>
            </w14:solidFill>
          </w14:textFill>
        </w:rPr>
        <w:t>采购代理机构信息</w:t>
      </w:r>
    </w:p>
    <w:p w14:paraId="40D46A64">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名称： 广东省电信规划设计院有限公司</w:t>
      </w:r>
    </w:p>
    <w:p w14:paraId="300259AB">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地址：</w:t>
      </w:r>
      <w:r>
        <w:rPr>
          <w:rFonts w:hint="eastAsia"/>
          <w:color w:val="000000" w:themeColor="text1"/>
          <w14:textFill>
            <w14:solidFill>
              <w14:schemeClr w14:val="tx1"/>
            </w14:solidFill>
          </w14:textFill>
        </w:rPr>
        <w:t>南京市浦口区万寿路149号万象企业中心B12栋9楼</w:t>
      </w:r>
    </w:p>
    <w:p w14:paraId="6536B8B4">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联系方式：</w:t>
      </w:r>
      <w:r>
        <w:rPr>
          <w:rFonts w:hint="eastAsia"/>
          <w:color w:val="000000" w:themeColor="text1"/>
          <w14:textFill>
            <w14:solidFill>
              <w14:schemeClr w14:val="tx1"/>
            </w14:solidFill>
          </w14:textFill>
        </w:rPr>
        <w:t>13776678246</w:t>
      </w:r>
    </w:p>
    <w:p w14:paraId="7F58CB72">
      <w:pPr>
        <w:pStyle w:val="17"/>
        <w:spacing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color w:val="000000" w:themeColor="text1"/>
          <w14:textFill>
            <w14:solidFill>
              <w14:schemeClr w14:val="tx1"/>
            </w14:solidFill>
          </w14:textFill>
        </w:rPr>
        <w:t>项目联系方式</w:t>
      </w:r>
    </w:p>
    <w:p w14:paraId="0C81D080">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项目联系人：卜彩霞</w:t>
      </w:r>
      <w:r>
        <w:rPr>
          <w:rFonts w:hint="eastAsia"/>
          <w:color w:val="000000" w:themeColor="text1"/>
          <w14:textFill>
            <w14:solidFill>
              <w14:schemeClr w14:val="tx1"/>
            </w14:solidFill>
          </w14:textFill>
        </w:rPr>
        <w:t>、严盼盼、王永琰、</w:t>
      </w:r>
      <w:r>
        <w:rPr>
          <w:color w:val="000000" w:themeColor="text1"/>
          <w14:textFill>
            <w14:solidFill>
              <w14:schemeClr w14:val="tx1"/>
            </w14:solidFill>
          </w14:textFill>
        </w:rPr>
        <w:t>蒋卫林</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徐康康</w:t>
      </w:r>
    </w:p>
    <w:p w14:paraId="6B286A2E">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电话：</w:t>
      </w:r>
      <w:r>
        <w:rPr>
          <w:rFonts w:hint="eastAsia"/>
          <w:color w:val="000000" w:themeColor="text1"/>
          <w14:textFill>
            <w14:solidFill>
              <w14:schemeClr w14:val="tx1"/>
            </w14:solidFill>
          </w14:textFill>
        </w:rPr>
        <w:t>13776678246</w:t>
      </w:r>
    </w:p>
    <w:p w14:paraId="087E62F2">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请贵单位领取本次</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文件后，认真阅读各项内容，进行必要的</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准备，按文件的要求详细填写和编制响应文件，并按以上确定的时间、地点准时参加</w:t>
      </w:r>
      <w:r>
        <w:rPr>
          <w:rFonts w:hint="eastAsia"/>
          <w:color w:val="000000" w:themeColor="text1"/>
          <w14:textFill>
            <w14:solidFill>
              <w14:schemeClr w14:val="tx1"/>
            </w14:solidFill>
          </w14:textFill>
        </w:rPr>
        <w:t>采购活动</w:t>
      </w:r>
      <w:r>
        <w:rPr>
          <w:color w:val="000000" w:themeColor="text1"/>
          <w14:textFill>
            <w14:solidFill>
              <w14:schemeClr w14:val="tx1"/>
            </w14:solidFill>
          </w14:textFill>
        </w:rPr>
        <w:t>。</w:t>
      </w:r>
      <w:bookmarkStart w:id="2" w:name="_Toc35393627"/>
      <w:bookmarkStart w:id="3" w:name="_Toc35393796"/>
      <w:bookmarkStart w:id="4" w:name="_Toc28359085"/>
      <w:bookmarkStart w:id="5" w:name="_Toc28359008"/>
    </w:p>
    <w:bookmarkEnd w:id="2"/>
    <w:bookmarkEnd w:id="3"/>
    <w:bookmarkEnd w:id="4"/>
    <w:bookmarkEnd w:id="5"/>
    <w:p w14:paraId="73A697AE">
      <w:pPr>
        <w:spacing w:line="360" w:lineRule="auto"/>
        <w:rPr>
          <w:rFonts w:ascii="宋体" w:hAnsi="宋体" w:cs="黑体"/>
          <w:color w:val="000000" w:themeColor="text1"/>
          <w:sz w:val="36"/>
          <w14:textFill>
            <w14:solidFill>
              <w14:schemeClr w14:val="tx1"/>
            </w14:solidFill>
          </w14:textFill>
        </w:rPr>
      </w:pPr>
      <w:r>
        <w:rPr>
          <w:rFonts w:ascii="宋体" w:hAnsi="宋体" w:cs="黑体"/>
          <w:color w:val="000000" w:themeColor="text1"/>
          <w:sz w:val="36"/>
          <w14:textFill>
            <w14:solidFill>
              <w14:schemeClr w14:val="tx1"/>
            </w14:solidFill>
          </w14:textFill>
        </w:rPr>
        <w:br w:type="page"/>
      </w:r>
    </w:p>
    <w:p w14:paraId="5915F023">
      <w:pPr>
        <w:pStyle w:val="267"/>
        <w:rPr>
          <w:color w:val="000000" w:themeColor="text1"/>
          <w14:textFill>
            <w14:solidFill>
              <w14:schemeClr w14:val="tx1"/>
            </w14:solidFill>
          </w14:textFill>
        </w:rPr>
      </w:pPr>
      <w:r>
        <w:rPr>
          <w:color w:val="000000" w:themeColor="text1"/>
          <w14:textFill>
            <w14:solidFill>
              <w14:schemeClr w14:val="tx1"/>
            </w14:solidFill>
          </w14:textFill>
        </w:rPr>
        <w:t xml:space="preserve">第二章  </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须知</w:t>
      </w:r>
    </w:p>
    <w:p w14:paraId="39AA475B">
      <w:pPr>
        <w:pStyle w:val="17"/>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总则</w:t>
      </w:r>
    </w:p>
    <w:p w14:paraId="54804353">
      <w:pPr>
        <w:pStyle w:val="17"/>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适用</w:t>
      </w:r>
      <w:r>
        <w:rPr>
          <w:rFonts w:hint="eastAsia"/>
          <w:color w:val="000000" w:themeColor="text1"/>
          <w14:textFill>
            <w14:solidFill>
              <w14:schemeClr w14:val="tx1"/>
            </w14:solidFill>
          </w14:textFill>
        </w:rPr>
        <w:t>规则</w:t>
      </w:r>
    </w:p>
    <w:p w14:paraId="57A3BC1D">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1.1 </w:t>
      </w:r>
      <w:r>
        <w:rPr>
          <w:rFonts w:hint="eastAsia"/>
          <w:color w:val="000000" w:themeColor="text1"/>
          <w14:textFill>
            <w14:solidFill>
              <w14:schemeClr w14:val="tx1"/>
            </w14:solidFill>
          </w14:textFill>
        </w:rPr>
        <w:t>本采购项目为非政府采购项目，本次采购适用《南京邮电大学采购招标管理办法（修订）》（校发〔2025〕34号）</w:t>
      </w:r>
      <w:r>
        <w:rPr>
          <w:color w:val="000000" w:themeColor="text1"/>
          <w14:textFill>
            <w14:solidFill>
              <w14:schemeClr w14:val="tx1"/>
            </w14:solidFill>
          </w14:textFill>
        </w:rPr>
        <w:t>《南京邮电大学校内集中采购管理实施细则（试行）》（校发〔2023〕39号）《南京邮电大学采购项目质疑答复和投诉处理实施细则（试行）》（校发〔2023〕38号）等</w:t>
      </w:r>
      <w:r>
        <w:rPr>
          <w:rFonts w:hint="eastAsia"/>
          <w:color w:val="000000" w:themeColor="text1"/>
          <w14:textFill>
            <w14:solidFill>
              <w14:schemeClr w14:val="tx1"/>
            </w14:solidFill>
          </w14:textFill>
        </w:rPr>
        <w:t>南京邮电大学内控制度</w:t>
      </w:r>
      <w:r>
        <w:rPr>
          <w:color w:val="000000" w:themeColor="text1"/>
          <w14:textFill>
            <w14:solidFill>
              <w14:schemeClr w14:val="tx1"/>
            </w14:solidFill>
          </w14:textFill>
        </w:rPr>
        <w:t>（文件详见链接https://zbb.njupt.edu.cn/xngzzd/index.chtml）。</w:t>
      </w:r>
    </w:p>
    <w:p w14:paraId="3F749321">
      <w:pPr>
        <w:pStyle w:val="17"/>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定义</w:t>
      </w:r>
    </w:p>
    <w:p w14:paraId="763D36B8">
      <w:pPr>
        <w:pStyle w:val="17"/>
        <w:numPr>
          <w:ilvl w:val="0"/>
          <w:numId w:val="9"/>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供应商</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是指参加</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竞争，并符合采购文件规定资格条件的法人、其他组织或者自然人。</w:t>
      </w:r>
    </w:p>
    <w:p w14:paraId="256939F7">
      <w:pPr>
        <w:numPr>
          <w:ilvl w:val="0"/>
          <w:numId w:val="9"/>
        </w:numPr>
        <w:spacing w:after="120" w:line="360" w:lineRule="auto"/>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“货物和服务”指本招标文件中所述产品及相关服务。</w:t>
      </w:r>
    </w:p>
    <w:p w14:paraId="50E17BCA">
      <w:pPr>
        <w:numPr>
          <w:ilvl w:val="0"/>
          <w:numId w:val="9"/>
        </w:numPr>
        <w:spacing w:after="120" w:line="360" w:lineRule="auto"/>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“采购人”、“用户”、“使用单位”是指使用货物及接受服务的单位。</w:t>
      </w:r>
    </w:p>
    <w:p w14:paraId="7556E406">
      <w:pPr>
        <w:pStyle w:val="17"/>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采购文件</w:t>
      </w:r>
    </w:p>
    <w:p w14:paraId="2176ACBF">
      <w:pPr>
        <w:pStyle w:val="17"/>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3</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采购文件组成</w:t>
      </w:r>
    </w:p>
    <w:p w14:paraId="60CDEAE2">
      <w:pPr>
        <w:pStyle w:val="17"/>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采购文件组成：</w:t>
      </w:r>
      <w:r>
        <w:rPr>
          <w:rFonts w:hint="eastAsia"/>
          <w:color w:val="000000" w:themeColor="text1"/>
          <w14:textFill>
            <w14:solidFill>
              <w14:schemeClr w14:val="tx1"/>
            </w14:solidFill>
          </w14:textFill>
        </w:rPr>
        <w:t>比选公告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须知、评</w:t>
      </w:r>
      <w:r>
        <w:rPr>
          <w:rFonts w:hint="eastAsia"/>
          <w:color w:val="000000" w:themeColor="text1"/>
          <w14:textFill>
            <w14:solidFill>
              <w14:schemeClr w14:val="tx1"/>
            </w14:solidFill>
          </w14:textFill>
        </w:rPr>
        <w:t>审</w:t>
      </w:r>
      <w:r>
        <w:rPr>
          <w:color w:val="000000" w:themeColor="text1"/>
          <w14:textFill>
            <w14:solidFill>
              <w14:schemeClr w14:val="tx1"/>
            </w14:solidFill>
          </w14:textFill>
        </w:rPr>
        <w:t>标准、采购</w:t>
      </w:r>
      <w:r>
        <w:rPr>
          <w:rFonts w:hint="eastAsia"/>
          <w:color w:val="000000" w:themeColor="text1"/>
          <w14:textFill>
            <w14:solidFill>
              <w14:schemeClr w14:val="tx1"/>
            </w14:solidFill>
          </w14:textFill>
        </w:rPr>
        <w:t>需求</w:t>
      </w:r>
      <w:r>
        <w:rPr>
          <w:color w:val="000000" w:themeColor="text1"/>
          <w14:textFill>
            <w14:solidFill>
              <w14:schemeClr w14:val="tx1"/>
            </w14:solidFill>
          </w14:textFill>
        </w:rPr>
        <w:t>、合同主要条款及格式、响应文件格式及附件等。</w:t>
      </w:r>
    </w:p>
    <w:p w14:paraId="56B8D597">
      <w:pPr>
        <w:pStyle w:val="17"/>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采购的最小单位是包。采购服务数量及技术要求中未分包的，供应商对要求提供的服务不得部分</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；采购服务数量及技术要求中已经分包的，应当以包为单位</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0BE6D481">
      <w:pPr>
        <w:pStyle w:val="17"/>
        <w:widowControl/>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采购文件如果要求供应商提交备选方案的，供应商可以提交备选方案，否则，不接受备选方案。</w:t>
      </w:r>
    </w:p>
    <w:p w14:paraId="317319C1">
      <w:pPr>
        <w:pStyle w:val="17"/>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4</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采购文件的澄清修改</w:t>
      </w:r>
    </w:p>
    <w:p w14:paraId="27AFC021">
      <w:pPr>
        <w:pStyle w:val="17"/>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w:t>
      </w:r>
      <w:r>
        <w:rPr>
          <w:rFonts w:hint="eastAsia"/>
          <w:color w:val="000000" w:themeColor="text1"/>
          <w14:textFill>
            <w14:solidFill>
              <w14:schemeClr w14:val="tx1"/>
            </w14:solidFill>
          </w14:textFill>
        </w:rPr>
        <w:t>采购招标管理办公室网站”</w:t>
      </w:r>
      <w:r>
        <w:rPr>
          <w:color w:val="000000" w:themeColor="text1"/>
          <w14:textFill>
            <w14:solidFill>
              <w14:schemeClr w14:val="tx1"/>
            </w14:solidFill>
          </w14:textFill>
        </w:rPr>
        <w:t>发布更正公告的形式通知所有已获取采购文件的供应商，不足3个工作日的，应当顺延提交响应文件截止之日。</w:t>
      </w:r>
    </w:p>
    <w:p w14:paraId="1C6A829D">
      <w:pPr>
        <w:pStyle w:val="17"/>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14:textFill>
            <w14:solidFill>
              <w14:schemeClr w14:val="tx1"/>
            </w14:solidFill>
          </w14:textFill>
        </w:rPr>
        <w:t>开启</w:t>
      </w:r>
      <w:r>
        <w:rPr>
          <w:color w:val="000000" w:themeColor="text1"/>
          <w14:textFill>
            <w14:solidFill>
              <w14:schemeClr w14:val="tx1"/>
            </w14:solidFill>
          </w14:textFill>
        </w:rPr>
        <w:t>时间，并在原采购信息发布媒体上发布更正公告。</w:t>
      </w:r>
    </w:p>
    <w:p w14:paraId="3D218598">
      <w:pPr>
        <w:pStyle w:val="17"/>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供应商应在提交响应文件截止时间前关注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w:t>
      </w:r>
      <w:r>
        <w:rPr>
          <w:rFonts w:hint="eastAsia"/>
          <w:color w:val="000000" w:themeColor="text1"/>
          <w14:textFill>
            <w14:solidFill>
              <w14:schemeClr w14:val="tx1"/>
            </w14:solidFill>
          </w14:textFill>
        </w:rPr>
        <w:t>采购招标管理办公室网站”</w:t>
      </w:r>
      <w:r>
        <w:rPr>
          <w:color w:val="000000" w:themeColor="text1"/>
          <w14:textFill>
            <w14:solidFill>
              <w14:schemeClr w14:val="tx1"/>
            </w14:solidFill>
          </w14:textFill>
        </w:rPr>
        <w:t>上有关本采购项目有无更正公告。</w:t>
      </w:r>
    </w:p>
    <w:p w14:paraId="4A0EF9C6">
      <w:pPr>
        <w:pStyle w:val="17"/>
        <w:numPr>
          <w:ilvl w:val="0"/>
          <w:numId w:val="8"/>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w:t>
      </w:r>
    </w:p>
    <w:p w14:paraId="3B910DCD">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响应文件的语言、计量单位、货币、技术标准和编制</w:t>
      </w:r>
    </w:p>
    <w:p w14:paraId="46CB4864">
      <w:pPr>
        <w:pStyle w:val="17"/>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供应商提交的响应文件、技术文件和资料，包括图纸中的说明，以及供应商与代理机构就有关</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7FA4F2C6">
      <w:pPr>
        <w:pStyle w:val="17"/>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供应商所使用的计量单位应为国家法定计量单位。</w:t>
      </w:r>
    </w:p>
    <w:p w14:paraId="76029CF3">
      <w:pPr>
        <w:pStyle w:val="17"/>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供应商应用人民币报价。</w:t>
      </w:r>
    </w:p>
    <w:p w14:paraId="5D4BFC67">
      <w:pPr>
        <w:pStyle w:val="17"/>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响应文件应字迹清楚、内容齐全、不得涂改。如有修改，修改处须有响应文件签署人签字或加盖公章。</w:t>
      </w:r>
    </w:p>
    <w:p w14:paraId="471EEB70">
      <w:pPr>
        <w:pStyle w:val="17"/>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供应商所使用的技术标准应遵循国家最新标准及规范。</w:t>
      </w:r>
    </w:p>
    <w:p w14:paraId="083AF05F">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联合体及分包：本项目不接受联合体</w:t>
      </w: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，不接受分包、转包。</w:t>
      </w:r>
    </w:p>
    <w:p w14:paraId="58242754">
      <w:pPr>
        <w:pStyle w:val="17"/>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采购项目如接受联合体</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的，两个以上的自然人、法人或者其他组织可以组成一个联合体，以一个供应商的身份共同参加</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7E05B1E8">
      <w:pPr>
        <w:pStyle w:val="17"/>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，也不得组成新的联合体参加同一项目</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3B86FCCE">
      <w:pPr>
        <w:pStyle w:val="17"/>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采购合同分包履行的，</w:t>
      </w:r>
      <w:r>
        <w:rPr>
          <w:rFonts w:hint="eastAsia"/>
          <w:color w:val="000000" w:themeColor="text1"/>
          <w14:textFill>
            <w14:solidFill>
              <w14:schemeClr w14:val="tx1"/>
            </w14:solidFill>
          </w14:textFill>
        </w:rPr>
        <w:t>成交</w:t>
      </w:r>
      <w:r>
        <w:rPr>
          <w:color w:val="000000" w:themeColor="text1"/>
          <w14:textFill>
            <w14:solidFill>
              <w14:schemeClr w14:val="tx1"/>
            </w14:solidFill>
          </w14:textFill>
        </w:rPr>
        <w:t>供应商就采购项目和分包项目向采购人负责，分包项目供应商就分包项目承担责任，</w:t>
      </w:r>
      <w:r>
        <w:rPr>
          <w:rFonts w:hint="eastAsia"/>
          <w:color w:val="000000" w:themeColor="text1"/>
          <w14:textFill>
            <w14:solidFill>
              <w14:schemeClr w14:val="tx1"/>
            </w14:solidFill>
          </w14:textFill>
        </w:rPr>
        <w:t>成交</w:t>
      </w:r>
      <w:r>
        <w:rPr>
          <w:color w:val="000000" w:themeColor="text1"/>
          <w14:textFill>
            <w14:solidFill>
              <w14:schemeClr w14:val="tx1"/>
            </w14:solidFill>
          </w14:textFill>
        </w:rPr>
        <w:t>供应商与分包人之间应该签订分包意向协议。</w:t>
      </w:r>
    </w:p>
    <w:p w14:paraId="449D377D">
      <w:pPr>
        <w:pStyle w:val="17"/>
        <w:numPr>
          <w:ilvl w:val="0"/>
          <w:numId w:val="12"/>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费用</w:t>
      </w:r>
    </w:p>
    <w:p w14:paraId="5E668948">
      <w:pPr>
        <w:pStyle w:val="17"/>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供应商应承担所有与准备和参加</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有关的费用，无论采购结果如何，代理机构和采购人在任何情况下均无义务和责任承担这些费用。</w:t>
      </w:r>
    </w:p>
    <w:p w14:paraId="1EAD64F4">
      <w:pPr>
        <w:pStyle w:val="17"/>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14:textFill>
            <w14:solidFill>
              <w14:schemeClr w14:val="tx1"/>
            </w14:solidFill>
          </w14:textFill>
        </w:rPr>
        <w:t>〔2011〕</w:t>
      </w:r>
      <w:r>
        <w:rPr>
          <w:color w:val="000000" w:themeColor="text1"/>
          <w14:textFill>
            <w14:solidFill>
              <w14:schemeClr w14:val="tx1"/>
            </w14:solidFill>
          </w14:textFill>
        </w:rPr>
        <w:t>534 号）所列采购代理服务费收费标准下浮</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58</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%（优惠率）收取。代理服务费包括所供服务相关的所有费用，工程类采购代理项目报价包含编制工程量清单、确定</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控制价等所有费用。</w:t>
      </w:r>
    </w:p>
    <w:p w14:paraId="7D06974A">
      <w:pPr>
        <w:pStyle w:val="17"/>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00E6E9FF">
      <w:pPr>
        <w:pStyle w:val="17"/>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采购代理服务费按项目结算，由采购代理服务商向具体项目的成交单位收取。</w:t>
      </w:r>
      <w:r>
        <w:rPr>
          <w:rFonts w:hint="eastAsia"/>
          <w:color w:val="000000" w:themeColor="text1"/>
          <w14:textFill>
            <w14:solidFill>
              <w14:schemeClr w14:val="tx1"/>
            </w14:solidFill>
          </w14:textFill>
        </w:rPr>
        <w:t>成交供应商须在领取成交通知书前，向采购代理机构一次性缴清采购代理服务费。</w:t>
      </w:r>
    </w:p>
    <w:p w14:paraId="35AB95B5">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响应文件组成</w:t>
      </w:r>
    </w:p>
    <w:p w14:paraId="129B11D5">
      <w:pPr>
        <w:pStyle w:val="17"/>
        <w:numPr>
          <w:ilvl w:val="0"/>
          <w:numId w:val="1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6207C57C">
      <w:pPr>
        <w:pStyle w:val="17"/>
        <w:numPr>
          <w:ilvl w:val="0"/>
          <w:numId w:val="1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响应文件由商务部分、技术部分、价格部分，以及其他部分组成。</w:t>
      </w:r>
    </w:p>
    <w:p w14:paraId="5F300D39">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响应文件的商务部分</w:t>
      </w:r>
    </w:p>
    <w:p w14:paraId="5178221E">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9.1 商务部分是证明供应商有资格参加</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和成交后有能力履行合同的文件，这些文件应能满足采购的要求，包括但不限于下列文件，其中加</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★”项目不得有缺失或无效：</w:t>
      </w:r>
    </w:p>
    <w:p w14:paraId="08C1ADA5">
      <w:pPr>
        <w:pStyle w:val="17"/>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函（</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申请及声明）；</w:t>
      </w:r>
    </w:p>
    <w:p w14:paraId="092F5721">
      <w:pPr>
        <w:pStyle w:val="17"/>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★法定代表人授权委托书及授权委托人的身份证复印件（有授权委托的），或法定代表人身份证复印件（无授权委托的）；</w:t>
      </w:r>
    </w:p>
    <w:p w14:paraId="782E4BB3">
      <w:pPr>
        <w:pStyle w:val="17"/>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★第一章</w:t>
      </w:r>
      <w:r>
        <w:rPr>
          <w:rFonts w:hint="eastAsia"/>
          <w:color w:val="000000" w:themeColor="text1"/>
          <w14:textFill>
            <w14:solidFill>
              <w14:schemeClr w14:val="tx1"/>
            </w14:solidFill>
          </w14:textFill>
        </w:rPr>
        <w:t>比选公告</w:t>
      </w:r>
      <w:r>
        <w:rPr>
          <w:color w:val="000000" w:themeColor="text1"/>
          <w14:textFill>
            <w14:solidFill>
              <w14:schemeClr w14:val="tx1"/>
            </w14:solidFill>
          </w14:textFill>
        </w:rPr>
        <w:t>中</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二、申请人的资格要求规定的资格条件证明文件</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t>
      </w:r>
    </w:p>
    <w:p w14:paraId="231B1381">
      <w:pPr>
        <w:pStyle w:val="17"/>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《商务条款偏离表》；</w:t>
      </w:r>
    </w:p>
    <w:p w14:paraId="60C810E8">
      <w:pPr>
        <w:pStyle w:val="17"/>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合同条款；</w:t>
      </w:r>
    </w:p>
    <w:p w14:paraId="763D7456">
      <w:pPr>
        <w:pStyle w:val="17"/>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供应商认为需要提供的其他资格证明文件和商务资料。</w:t>
      </w:r>
    </w:p>
    <w:p w14:paraId="2EA50233">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响应文件的技术部分</w:t>
      </w:r>
    </w:p>
    <w:p w14:paraId="0B523B38">
      <w:pPr>
        <w:pStyle w:val="17"/>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技术部分是证明供应商提供的服务是合格的、并符合采购文件要求的证明文件，以及对</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报价表中的服务的详细说明，这些文件可以是文字资料、图纸和数据等。</w:t>
      </w:r>
    </w:p>
    <w:p w14:paraId="6CB67AE7">
      <w:pPr>
        <w:pStyle w:val="17"/>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若提供的服务与采购文件要求有不符之处，应说明其差别之所在。</w:t>
      </w:r>
    </w:p>
    <w:p w14:paraId="2F95EC86">
      <w:pPr>
        <w:pStyle w:val="17"/>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响应文件应按照采购文件要求提供服务说明，技术资料、文件和有关证明，包括但不限于以下材料：</w:t>
      </w:r>
    </w:p>
    <w:p w14:paraId="259FAD38">
      <w:pPr>
        <w:pStyle w:val="17"/>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提供技术及</w:t>
      </w:r>
      <w:r>
        <w:rPr>
          <w:rFonts w:hint="eastAsia"/>
          <w:color w:val="000000" w:themeColor="text1"/>
          <w14:textFill>
            <w14:solidFill>
              <w14:schemeClr w14:val="tx1"/>
            </w14:solidFill>
          </w14:textFill>
        </w:rPr>
        <w:t>服务</w:t>
      </w:r>
      <w:r>
        <w:rPr>
          <w:color w:val="000000" w:themeColor="text1"/>
          <w14:textFill>
            <w14:solidFill>
              <w14:schemeClr w14:val="tx1"/>
            </w14:solidFill>
          </w14:textFill>
        </w:rPr>
        <w:t>方案；</w:t>
      </w:r>
    </w:p>
    <w:p w14:paraId="79C4FD54">
      <w:pPr>
        <w:pStyle w:val="17"/>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《技术条款偏离表》；</w:t>
      </w:r>
    </w:p>
    <w:p w14:paraId="1537845E">
      <w:pPr>
        <w:pStyle w:val="17"/>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服务承诺；</w:t>
      </w:r>
    </w:p>
    <w:p w14:paraId="0DDDBF93">
      <w:pPr>
        <w:pStyle w:val="17"/>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供应商拟投入本项目的设备、人员情况一览表；</w:t>
      </w:r>
    </w:p>
    <w:p w14:paraId="0F0B3170">
      <w:pPr>
        <w:pStyle w:val="17"/>
        <w:widowControl/>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供应商认为需要提供的其他技术资料。</w:t>
      </w:r>
    </w:p>
    <w:p w14:paraId="3B7450A8">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响应文件的价格部分</w:t>
      </w:r>
    </w:p>
    <w:p w14:paraId="784714FE">
      <w:pPr>
        <w:pStyle w:val="17"/>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价格部分是对</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服务价格构成的说明，每一项服务仅接受一个价格。</w:t>
      </w:r>
    </w:p>
    <w:p w14:paraId="59FD5DEA">
      <w:pPr>
        <w:pStyle w:val="17"/>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报价应包含</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文件所确定的</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6808CDC5">
      <w:pPr>
        <w:pStyle w:val="17"/>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供应商的任何错漏、优惠、竞争性报价不得作为减轻责任、减少服务、增加收费、降低质量的理由。</w:t>
      </w:r>
    </w:p>
    <w:p w14:paraId="34CAF0C2">
      <w:pPr>
        <w:pStyle w:val="17"/>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供应商应在《</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一览表》《分项报价表》</w:t>
      </w:r>
      <w:r>
        <w:rPr>
          <w:rFonts w:hint="eastAsia"/>
          <w:color w:val="000000" w:themeColor="text1"/>
          <w14:textFill>
            <w14:solidFill>
              <w14:schemeClr w14:val="tx1"/>
            </w14:solidFill>
          </w14:textFill>
        </w:rPr>
        <w:t>中列</w:t>
      </w:r>
      <w:r>
        <w:rPr>
          <w:color w:val="000000" w:themeColor="text1"/>
          <w14:textFill>
            <w14:solidFill>
              <w14:schemeClr w14:val="tx1"/>
            </w14:solidFill>
          </w14:textFill>
        </w:rPr>
        <w:t>明提供货物和服务的单价、总价以及分项报价。</w:t>
      </w:r>
    </w:p>
    <w:p w14:paraId="6883156C">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响应文件的其他部分</w:t>
      </w:r>
    </w:p>
    <w:p w14:paraId="07D9AD00">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供应商编制响应文件需要提供的其他相关文件。</w:t>
      </w:r>
    </w:p>
    <w:p w14:paraId="44CE8788">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响应保证金：无。</w:t>
      </w:r>
    </w:p>
    <w:p w14:paraId="42323E87">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响应有效期</w:t>
      </w:r>
    </w:p>
    <w:p w14:paraId="1C959DE2">
      <w:pPr>
        <w:pStyle w:val="17"/>
        <w:numPr>
          <w:ilvl w:val="0"/>
          <w:numId w:val="2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自</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之日起</w:t>
      </w:r>
      <w:r>
        <w:rPr>
          <w:rFonts w:hint="eastAsia"/>
          <w:color w:val="000000" w:themeColor="text1"/>
          <w14:textFill>
            <w14:solidFill>
              <w14:schemeClr w14:val="tx1"/>
            </w14:solidFill>
          </w14:textFill>
        </w:rPr>
        <w:t>九十</w:t>
      </w:r>
      <w:r>
        <w:rPr>
          <w:color w:val="000000" w:themeColor="text1"/>
          <w14:textFill>
            <w14:solidFill>
              <w14:schemeClr w14:val="tx1"/>
            </w14:solidFill>
          </w14:textFill>
        </w:rPr>
        <w:t>日内响应有效。</w:t>
      </w:r>
    </w:p>
    <w:p w14:paraId="32D69C9A">
      <w:pPr>
        <w:pStyle w:val="17"/>
        <w:numPr>
          <w:ilvl w:val="0"/>
          <w:numId w:val="2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6E428DF1">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响应文件的份数、签署</w:t>
      </w:r>
    </w:p>
    <w:p w14:paraId="0A4C5A21">
      <w:pPr>
        <w:pStyle w:val="17"/>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供应商应按照采购文件要求的份数准备响应文件，每份响应文件须清楚地标明</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正本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或</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副本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字样。正本和副本不符时，以正本为准。</w:t>
      </w:r>
    </w:p>
    <w:p w14:paraId="2E2A55F8">
      <w:pPr>
        <w:pStyle w:val="17"/>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2930C47E">
      <w:pPr>
        <w:pStyle w:val="17"/>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除供应商对错处做必要修改外，响应文件不得行间插字、涂改或增删。如有修改错漏处，必须由响应文件签署人签字或加盖公章。</w:t>
      </w:r>
    </w:p>
    <w:p w14:paraId="4EEECE7E">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响应文件的密封和递交</w:t>
      </w:r>
    </w:p>
    <w:p w14:paraId="3A74A4DF">
      <w:pPr>
        <w:pStyle w:val="17"/>
        <w:numPr>
          <w:ilvl w:val="0"/>
          <w:numId w:val="2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供应商应当将响应文件密封。</w:t>
      </w:r>
    </w:p>
    <w:p w14:paraId="27E5C479">
      <w:pPr>
        <w:pStyle w:val="17"/>
        <w:numPr>
          <w:ilvl w:val="0"/>
          <w:numId w:val="2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供应商应当在采购文件要求提交响应文件的截止时间前，将密封的响应文件送达响应地点。</w:t>
      </w:r>
    </w:p>
    <w:p w14:paraId="34AF180B">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有下列情形之一的响应文件将被拒收</w:t>
      </w:r>
    </w:p>
    <w:p w14:paraId="3C3A3FC7">
      <w:pPr>
        <w:pStyle w:val="17"/>
        <w:numPr>
          <w:ilvl w:val="0"/>
          <w:numId w:val="2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在采购文件要求提交响应文件的截止时间之后送达的。</w:t>
      </w:r>
    </w:p>
    <w:p w14:paraId="21AD90B5">
      <w:pPr>
        <w:pStyle w:val="17"/>
        <w:numPr>
          <w:ilvl w:val="0"/>
          <w:numId w:val="2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响应文件未密封的。</w:t>
      </w:r>
    </w:p>
    <w:p w14:paraId="1A953A4F">
      <w:pPr>
        <w:pStyle w:val="17"/>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响应文件的修改和撤回</w:t>
      </w:r>
    </w:p>
    <w:p w14:paraId="69EAB845">
      <w:pPr>
        <w:pStyle w:val="17"/>
        <w:numPr>
          <w:ilvl w:val="0"/>
          <w:numId w:val="2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6CAC2B85">
      <w:pPr>
        <w:pStyle w:val="17"/>
        <w:numPr>
          <w:ilvl w:val="0"/>
          <w:numId w:val="2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响应截止时间之后，响应文件不得撤回。</w:t>
      </w:r>
    </w:p>
    <w:p w14:paraId="240E8235">
      <w:pPr>
        <w:pStyle w:val="17"/>
        <w:numPr>
          <w:ilvl w:val="0"/>
          <w:numId w:val="8"/>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响应文件开启</w:t>
      </w:r>
      <w:r>
        <w:rPr>
          <w:b/>
          <w:color w:val="000000" w:themeColor="text1"/>
          <w14:textFill>
            <w14:solidFill>
              <w14:schemeClr w14:val="tx1"/>
            </w14:solidFill>
          </w14:textFill>
        </w:rPr>
        <w:t>、评</w:t>
      </w:r>
      <w:r>
        <w:rPr>
          <w:rFonts w:hint="eastAsia"/>
          <w:b/>
          <w:color w:val="000000" w:themeColor="text1"/>
          <w14:textFill>
            <w14:solidFill>
              <w14:schemeClr w14:val="tx1"/>
            </w14:solidFill>
          </w14:textFill>
        </w:rPr>
        <w:t>审</w:t>
      </w:r>
      <w:r>
        <w:rPr>
          <w:b/>
          <w:color w:val="000000" w:themeColor="text1"/>
          <w14:textFill>
            <w14:solidFill>
              <w14:schemeClr w14:val="tx1"/>
            </w14:solidFill>
          </w14:textFill>
        </w:rPr>
        <w:t>与确定成交供应商</w:t>
      </w:r>
    </w:p>
    <w:p w14:paraId="5BA5EC84">
      <w:pPr>
        <w:pStyle w:val="17"/>
        <w:numPr>
          <w:ilvl w:val="0"/>
          <w:numId w:val="26"/>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响应文件开启</w:t>
      </w:r>
    </w:p>
    <w:p w14:paraId="076F65D0">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代理机构将在采购文件确定的时间和地点进行</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。供应商应委派代表准时参加，</w:t>
      </w:r>
      <w:r>
        <w:rPr>
          <w:rFonts w:hint="eastAsia"/>
          <w:color w:val="000000" w:themeColor="text1"/>
          <w14:textFill>
            <w14:solidFill>
              <w14:schemeClr w14:val="tx1"/>
            </w14:solidFill>
          </w14:textFill>
        </w:rPr>
        <w:t>未参加响应文件开启的，视同认可响应文件开启结果。</w:t>
      </w:r>
    </w:p>
    <w:p w14:paraId="57A19894">
      <w:pPr>
        <w:pStyle w:val="17"/>
        <w:numPr>
          <w:ilvl w:val="0"/>
          <w:numId w:val="27"/>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6D67528F">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未宣读的响应价格、价格折扣和采购文件允许提供的备选响应方案等实质性内容，评审时不予承认。</w:t>
      </w:r>
    </w:p>
    <w:p w14:paraId="2FD72E43">
      <w:pPr>
        <w:pStyle w:val="17"/>
        <w:numPr>
          <w:ilvl w:val="0"/>
          <w:numId w:val="27"/>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时，《</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一览表》（报价表）内容与响应文件中相应内容不一致的，以《</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一览表》（报价表）为准。</w:t>
      </w:r>
    </w:p>
    <w:p w14:paraId="6D1692FC">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一览表》（报价表）中报价的大写金额与小写金额不一致的，以大写金额为准。</w:t>
      </w:r>
    </w:p>
    <w:p w14:paraId="1611B4CD">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单价金额小数点或者百分比有明显错位的，以《</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一览表》（报价表）的总价为准，并修改单价。</w:t>
      </w:r>
    </w:p>
    <w:p w14:paraId="4051DBA3">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总价金额与按单价汇总金额不一致的，以单价金额计算结果为准。</w:t>
      </w:r>
    </w:p>
    <w:p w14:paraId="1F63DAC7">
      <w:pPr>
        <w:pStyle w:val="17"/>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14:textFill>
            <w14:solidFill>
              <w14:schemeClr w14:val="tx1"/>
            </w14:solidFill>
          </w14:textFill>
        </w:rPr>
        <w:t>其</w:t>
      </w:r>
      <w:r>
        <w:rPr>
          <w:color w:val="000000" w:themeColor="text1"/>
          <w14:textFill>
            <w14:solidFill>
              <w14:schemeClr w14:val="tx1"/>
            </w14:solidFill>
          </w14:textFill>
        </w:rPr>
        <w:t>响应无效。</w:t>
      </w:r>
    </w:p>
    <w:p w14:paraId="54CCC09C">
      <w:pPr>
        <w:pStyle w:val="17"/>
        <w:numPr>
          <w:ilvl w:val="0"/>
          <w:numId w:val="27"/>
        </w:numPr>
        <w:spacing w:line="360" w:lineRule="auto"/>
        <w:ind w:firstLine="420" w:firstLineChars="175"/>
        <w:rPr>
          <w:color w:val="000000" w:themeColor="text1"/>
          <w14:textFill>
            <w14:solidFill>
              <w14:schemeClr w14:val="tx1"/>
            </w14:solidFill>
          </w14:textFill>
        </w:rPr>
      </w:pPr>
      <w:r>
        <w:rPr>
          <w:color w:val="000000" w:themeColor="text1"/>
          <w14:textFill>
            <w14:solidFill>
              <w14:schemeClr w14:val="tx1"/>
            </w14:solidFill>
          </w14:textFill>
        </w:rPr>
        <w:t>对不同文字文本响应文件的解释发生异议的，以中文文本为准。</w:t>
      </w:r>
    </w:p>
    <w:p w14:paraId="4E0602FA">
      <w:pPr>
        <w:pStyle w:val="17"/>
        <w:numPr>
          <w:ilvl w:val="0"/>
          <w:numId w:val="27"/>
        </w:numPr>
        <w:spacing w:line="360" w:lineRule="auto"/>
        <w:ind w:firstLine="420" w:firstLineChars="175"/>
        <w:rPr>
          <w:color w:val="000000" w:themeColor="text1"/>
          <w14:textFill>
            <w14:solidFill>
              <w14:schemeClr w14:val="tx1"/>
            </w14:solidFill>
          </w14:textFill>
        </w:rPr>
      </w:pPr>
      <w:r>
        <w:rPr>
          <w:color w:val="000000" w:themeColor="text1"/>
          <w14:textFill>
            <w14:solidFill>
              <w14:schemeClr w14:val="tx1"/>
            </w14:solidFill>
          </w14:textFill>
        </w:rPr>
        <w:t>响应截止时间</w:t>
      </w:r>
      <w:r>
        <w:rPr>
          <w:rFonts w:hint="eastAsia"/>
          <w:color w:val="000000" w:themeColor="text1"/>
          <w14:textFill>
            <w14:solidFill>
              <w14:schemeClr w14:val="tx1"/>
            </w14:solidFill>
          </w14:textFill>
        </w:rPr>
        <w:t>响应供应商或者合格供应商不足3家，可按以下情形处理：</w:t>
      </w:r>
    </w:p>
    <w:p w14:paraId="57AD16A6">
      <w:pPr>
        <w:pStyle w:val="17"/>
        <w:spacing w:line="360" w:lineRule="auto"/>
        <w:ind w:firstLineChars="175"/>
        <w:rPr>
          <w:color w:val="000000" w:themeColor="text1"/>
          <w14:textFill>
            <w14:solidFill>
              <w14:schemeClr w14:val="tx1"/>
            </w14:solidFill>
          </w14:textFill>
        </w:rPr>
      </w:pPr>
      <w:r>
        <w:rPr>
          <w:color w:val="000000" w:themeColor="text1"/>
          <w14:textFill>
            <w14:solidFill>
              <w14:schemeClr w14:val="tx1"/>
            </w14:solidFill>
          </w14:textFill>
        </w:rPr>
        <w:t>19.10.1</w:t>
      </w:r>
      <w:r>
        <w:rPr>
          <w:rFonts w:hint="eastAsia"/>
          <w:color w:val="000000" w:themeColor="text1"/>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264AB260">
      <w:pPr>
        <w:pStyle w:val="17"/>
        <w:spacing w:line="360" w:lineRule="auto"/>
        <w:ind w:firstLineChars="175"/>
        <w:rPr>
          <w:color w:val="000000" w:themeColor="text1"/>
          <w14:textFill>
            <w14:solidFill>
              <w14:schemeClr w14:val="tx1"/>
            </w14:solidFill>
          </w14:textFill>
        </w:rPr>
      </w:pPr>
      <w:r>
        <w:rPr>
          <w:color w:val="000000" w:themeColor="text1"/>
          <w14:textFill>
            <w14:solidFill>
              <w14:schemeClr w14:val="tx1"/>
            </w14:solidFill>
          </w14:textFill>
        </w:rPr>
        <w:t>19.10.2</w:t>
      </w:r>
      <w:r>
        <w:rPr>
          <w:rFonts w:hint="eastAsia"/>
          <w:color w:val="000000" w:themeColor="text1"/>
          <w14:textFill>
            <w14:solidFill>
              <w14:schemeClr w14:val="tx1"/>
            </w14:solidFill>
          </w14:textFill>
        </w:rPr>
        <w:t>除1</w:t>
      </w:r>
      <w:r>
        <w:rPr>
          <w:color w:val="000000" w:themeColor="text1"/>
          <w14:textFill>
            <w14:solidFill>
              <w14:schemeClr w14:val="tx1"/>
            </w14:solidFill>
          </w14:textFill>
        </w:rPr>
        <w:t>9.10.1</w:t>
      </w:r>
      <w:r>
        <w:rPr>
          <w:rFonts w:hint="eastAsia"/>
          <w:color w:val="000000" w:themeColor="text1"/>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14:textFill>
            <w14:solidFill>
              <w14:schemeClr w14:val="tx1"/>
            </w14:solidFill>
          </w14:textFill>
        </w:rPr>
        <w:t>9.10.1</w:t>
      </w:r>
      <w:r>
        <w:rPr>
          <w:rFonts w:hint="eastAsia"/>
          <w:color w:val="000000" w:themeColor="text1"/>
          <w14:textFill>
            <w14:solidFill>
              <w14:schemeClr w14:val="tx1"/>
            </w14:solidFill>
          </w14:textFill>
        </w:rPr>
        <w:t>所列两个条件的，可转为单一来源方式采购。</w:t>
      </w:r>
    </w:p>
    <w:p w14:paraId="1AA9DF13">
      <w:pPr>
        <w:pStyle w:val="17"/>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9.11</w:t>
      </w:r>
      <w:r>
        <w:rPr>
          <w:rFonts w:hint="eastAsia"/>
          <w:color w:val="000000" w:themeColor="text1"/>
          <w14:textFill>
            <w14:solidFill>
              <w14:schemeClr w14:val="tx1"/>
            </w14:solidFill>
          </w14:textFill>
        </w:rPr>
        <w:t>相同品牌产品</w:t>
      </w:r>
    </w:p>
    <w:p w14:paraId="01DF9959">
      <w:pPr>
        <w:pStyle w:val="17"/>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7A0A9CB5">
      <w:pPr>
        <w:pStyle w:val="17"/>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042AC080">
      <w:pPr>
        <w:pStyle w:val="17"/>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非单一产品采购项目，采购文件中将载明其中的核心产品，核心产品见《第四章 项目需求》。多家供应商提供的核心产品品牌相同的，按前两款规定处理。</w:t>
      </w:r>
    </w:p>
    <w:p w14:paraId="7727928A">
      <w:pPr>
        <w:pStyle w:val="17"/>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w:t>
      </w:r>
    </w:p>
    <w:p w14:paraId="442DA022">
      <w:pPr>
        <w:pStyle w:val="17"/>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评审组织</w:t>
      </w:r>
    </w:p>
    <w:p w14:paraId="256516B0">
      <w:pPr>
        <w:pStyle w:val="17"/>
        <w:numPr>
          <w:ilvl w:val="0"/>
          <w:numId w:val="2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评审工作由代理机构组织，具体评审事务由依法组建的评审委员会负责，并独立履行下列职责：</w:t>
      </w:r>
    </w:p>
    <w:p w14:paraId="32242BB7">
      <w:pPr>
        <w:pStyle w:val="17"/>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审查、评价响应文件是否符合采购文件的商务、技术等实质性要求；</w:t>
      </w:r>
    </w:p>
    <w:p w14:paraId="30ADD3CA">
      <w:pPr>
        <w:pStyle w:val="17"/>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要求供应商对响应文件有关事项作出澄清或者说明；</w:t>
      </w:r>
    </w:p>
    <w:p w14:paraId="17A2AABA">
      <w:pPr>
        <w:pStyle w:val="17"/>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对响应文件进行比较和评价；</w:t>
      </w:r>
    </w:p>
    <w:p w14:paraId="567C59D7">
      <w:pPr>
        <w:pStyle w:val="17"/>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推荐成交候选人或根据采购人委托直接确定成交供应商；</w:t>
      </w:r>
    </w:p>
    <w:p w14:paraId="7B8F76C0">
      <w:pPr>
        <w:pStyle w:val="17"/>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向采购人报告评审中发现的违法行为。</w:t>
      </w:r>
    </w:p>
    <w:p w14:paraId="49CBA84C">
      <w:pPr>
        <w:pStyle w:val="17"/>
        <w:numPr>
          <w:ilvl w:val="0"/>
          <w:numId w:val="2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评审委员会由采购人代表和有关技术、经济等方面的专家组成，独立开展评审工作。</w:t>
      </w:r>
    </w:p>
    <w:p w14:paraId="250451E3">
      <w:pPr>
        <w:pStyle w:val="17"/>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评审程序</w:t>
      </w:r>
    </w:p>
    <w:p w14:paraId="31C648FB">
      <w:pPr>
        <w:pStyle w:val="17"/>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响应文件的资格审查</w:t>
      </w:r>
    </w:p>
    <w:p w14:paraId="1EEAA505">
      <w:pPr>
        <w:pStyle w:val="17"/>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代理机构</w:t>
      </w:r>
      <w:r>
        <w:rPr>
          <w:color w:val="000000" w:themeColor="text1"/>
          <w14:textFill>
            <w14:solidFill>
              <w14:schemeClr w14:val="tx1"/>
            </w14:solidFill>
          </w14:textFill>
        </w:rPr>
        <w:t>依法对供应商的资格进行审查。</w:t>
      </w:r>
    </w:p>
    <w:p w14:paraId="2AC97082">
      <w:pPr>
        <w:pStyle w:val="17"/>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代理机构</w:t>
      </w:r>
      <w:r>
        <w:rPr>
          <w:color w:val="000000" w:themeColor="text1"/>
          <w14:textFill>
            <w14:solidFill>
              <w14:schemeClr w14:val="tx1"/>
            </w14:solidFill>
          </w14:textFill>
        </w:rPr>
        <w:t>依据法律法规和采购文件的规定，对响应文件中的资格证明文件等进行审查，以确定供应商是否具备响应资格。</w:t>
      </w:r>
    </w:p>
    <w:p w14:paraId="0CEDEDD7">
      <w:pPr>
        <w:pStyle w:val="17"/>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在进行资格性审查的同时，将在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网站（www.creditchina.gov.cn）、对供应商是否被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网站（www.creditchina.gov.cn）列入失信被执行人、重大税收违法失信主体、</w:t>
      </w:r>
      <w:r>
        <w:rPr>
          <w:rFonts w:hint="eastAsia"/>
          <w:color w:val="000000" w:themeColor="text1"/>
          <w:lang w:eastAsia="zh-CN"/>
          <w14:textFill>
            <w14:solidFill>
              <w14:schemeClr w14:val="tx1"/>
            </w14:solidFill>
          </w14:textFill>
        </w:rPr>
        <w:t>政府采购严重违法失信行为记录名单</w:t>
      </w:r>
      <w:r>
        <w:rPr>
          <w:color w:val="000000" w:themeColor="text1"/>
          <w14:textFill>
            <w14:solidFill>
              <w14:schemeClr w14:val="tx1"/>
            </w14:solidFill>
          </w14:textFill>
        </w:rPr>
        <w:t>进行查询，以确定供应商是否具备响应资格。查询结果将以网页打印的形式留存并归档。</w:t>
      </w:r>
    </w:p>
    <w:p w14:paraId="1ECA16F1">
      <w:pPr>
        <w:pStyle w:val="17"/>
        <w:widowControl/>
        <w:numPr>
          <w:ilvl w:val="0"/>
          <w:numId w:val="3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响应文件有下列情况之一的，在资格审查时按照无效响应处理</w:t>
      </w:r>
    </w:p>
    <w:p w14:paraId="49DEDA1E">
      <w:pPr>
        <w:pStyle w:val="17"/>
        <w:widowControl/>
        <w:numPr>
          <w:ilvl w:val="0"/>
          <w:numId w:val="3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不具备采购文件规定资格条件的；</w:t>
      </w:r>
    </w:p>
    <w:p w14:paraId="05627E14">
      <w:pPr>
        <w:pStyle w:val="17"/>
        <w:widowControl/>
        <w:numPr>
          <w:ilvl w:val="0"/>
          <w:numId w:val="3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中国政府采购网</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（www.ccgp.gov.cn）列入失信被执行人、重大税收违法失信主体、政府采购</w:t>
      </w:r>
      <w:r>
        <w:rPr>
          <w:rFonts w:hint="eastAsia"/>
          <w:color w:val="000000" w:themeColor="text1"/>
          <w:lang w:eastAsia="zh-CN"/>
          <w14:textFill>
            <w14:solidFill>
              <w14:schemeClr w14:val="tx1"/>
            </w14:solidFill>
          </w14:textFill>
        </w:rPr>
        <w:t>政府采购严重违法失信行为记录名单</w:t>
      </w:r>
      <w:r>
        <w:rPr>
          <w:color w:val="000000" w:themeColor="text1"/>
          <w14:textFill>
            <w14:solidFill>
              <w14:schemeClr w14:val="tx1"/>
            </w14:solidFill>
          </w14:textFill>
        </w:rPr>
        <w:t>的。接受联合体的项目，两个以上的自然人、法人或者其他组织组成一个联合体，以一个供应商的身份共同参加采购活动的，联合体成员存在不良信用记录的，视同联合体存在不良应用记录；</w:t>
      </w:r>
    </w:p>
    <w:p w14:paraId="2E8B7C31">
      <w:pPr>
        <w:pStyle w:val="17"/>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响应文件的符合性审查</w:t>
      </w:r>
    </w:p>
    <w:p w14:paraId="38281CBF">
      <w:pPr>
        <w:pStyle w:val="17"/>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75E3A705">
      <w:pPr>
        <w:pStyle w:val="17"/>
        <w:spacing w:line="360" w:lineRule="auto"/>
        <w:ind w:firstLine="480" w:firstLineChars="0"/>
        <w:rPr>
          <w:color w:val="000000" w:themeColor="text1"/>
          <w:highlight w:val="yellow"/>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.2.2.2实质性要求是指本采购文件中带</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的商务和技术要求。</w:t>
      </w:r>
    </w:p>
    <w:p w14:paraId="398B70A4">
      <w:pPr>
        <w:pStyle w:val="17"/>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356D06F1">
      <w:pPr>
        <w:pStyle w:val="17"/>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.2.2.4响应文件有下列情况之一的，在符合性审查时按照无效响应处理</w:t>
      </w:r>
    </w:p>
    <w:p w14:paraId="32B00A58">
      <w:pPr>
        <w:pStyle w:val="17"/>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未按照采购文件规定的要求密封、签署、盖章的；</w:t>
      </w:r>
    </w:p>
    <w:p w14:paraId="26898DB0">
      <w:pPr>
        <w:pStyle w:val="17"/>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不具备采购文件中规定的资格要求的；</w:t>
      </w:r>
    </w:p>
    <w:p w14:paraId="060D69DD">
      <w:pPr>
        <w:pStyle w:val="17"/>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报价超过采购文件中规定的预算金额或者最高限价的；</w:t>
      </w:r>
    </w:p>
    <w:p w14:paraId="4BA2FD5B">
      <w:pPr>
        <w:pStyle w:val="17"/>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响应文件含有采购人不能接受的附加条件的；</w:t>
      </w:r>
    </w:p>
    <w:p w14:paraId="46DE5D22">
      <w:pPr>
        <w:pStyle w:val="17"/>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响应文件不符合采购文件中规定的其它实质性要求的；</w:t>
      </w:r>
    </w:p>
    <w:p w14:paraId="5BA7A95B">
      <w:pPr>
        <w:pStyle w:val="17"/>
        <w:widowControl/>
        <w:numPr>
          <w:ilvl w:val="0"/>
          <w:numId w:val="3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4A18F740">
      <w:pPr>
        <w:pStyle w:val="17"/>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14:textFill>
            <w14:solidFill>
              <w14:schemeClr w14:val="tx1"/>
            </w14:solidFill>
          </w14:textFill>
        </w:rPr>
        <w:t>1</w:t>
      </w:r>
      <w:r>
        <w:rPr>
          <w:b/>
          <w:color w:val="000000" w:themeColor="text1"/>
          <w14:textFill>
            <w14:solidFill>
              <w14:schemeClr w14:val="tx1"/>
            </w14:solidFill>
          </w14:textFill>
        </w:rPr>
        <w:t>9.10</w:t>
      </w:r>
      <w:r>
        <w:rPr>
          <w:rFonts w:hint="eastAsia"/>
          <w:b/>
          <w:color w:val="000000" w:themeColor="text1"/>
          <w14:textFill>
            <w14:solidFill>
              <w14:schemeClr w14:val="tx1"/>
            </w14:solidFill>
          </w14:textFill>
        </w:rPr>
        <w:t>条款</w:t>
      </w:r>
      <w:r>
        <w:rPr>
          <w:b/>
          <w:color w:val="000000" w:themeColor="text1"/>
          <w14:textFill>
            <w14:solidFill>
              <w14:schemeClr w14:val="tx1"/>
            </w14:solidFill>
          </w14:textFill>
        </w:rPr>
        <w:t>处理：</w:t>
      </w:r>
    </w:p>
    <w:p w14:paraId="3AD2415F">
      <w:pPr>
        <w:pStyle w:val="17"/>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.2.2.6有下列情形之一的予以废标，同时将废标理由通知所有供应商</w:t>
      </w:r>
    </w:p>
    <w:p w14:paraId="2F229B4D">
      <w:pPr>
        <w:pStyle w:val="17"/>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除</w:t>
      </w:r>
      <w:r>
        <w:rPr>
          <w:rFonts w:hint="eastAsia"/>
          <w:color w:val="000000" w:themeColor="text1"/>
          <w14:textFill>
            <w14:solidFill>
              <w14:schemeClr w14:val="tx1"/>
            </w14:solidFill>
          </w14:textFill>
        </w:rPr>
        <w:t>19.10</w:t>
      </w:r>
      <w:r>
        <w:rPr>
          <w:color w:val="000000" w:themeColor="text1"/>
          <w14:textFill>
            <w14:solidFill>
              <w14:schemeClr w14:val="tx1"/>
            </w14:solidFill>
          </w14:textFill>
        </w:rPr>
        <w:t>中规定的情形外，符合资格条件的供应商或者对采购文件作实质性响应的供应商不足三家的；</w:t>
      </w:r>
    </w:p>
    <w:p w14:paraId="5DAC9EE1">
      <w:pPr>
        <w:pStyle w:val="17"/>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出现影响采购公正的违法、违规行为的；</w:t>
      </w:r>
    </w:p>
    <w:p w14:paraId="425809A3">
      <w:pPr>
        <w:pStyle w:val="17"/>
        <w:widowControl/>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因重大变故，采购任务取消的；</w:t>
      </w:r>
    </w:p>
    <w:p w14:paraId="46767B45">
      <w:pPr>
        <w:pStyle w:val="17"/>
        <w:widowControl/>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采购文件存在歧义、重大缺陷，或者采购文件内容违反国家有关强制性规定的；</w:t>
      </w:r>
    </w:p>
    <w:p w14:paraId="4A63E3BA">
      <w:pPr>
        <w:pStyle w:val="17"/>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响应文件的进一步评审</w:t>
      </w:r>
    </w:p>
    <w:p w14:paraId="7524325B">
      <w:pPr>
        <w:pStyle w:val="17"/>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评审委员会将对确定为实质性响应的响应文件进行进一步评审，看其是否有计算上或累加上的算术错误，修正错误的原则如下：</w:t>
      </w:r>
    </w:p>
    <w:p w14:paraId="08ACBA75">
      <w:pPr>
        <w:pStyle w:val="17"/>
        <w:numPr>
          <w:ilvl w:val="0"/>
          <w:numId w:val="3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如果用数字表示的金额和用文字表示的金额不一致时，应以文字表示的金额为准进行修正；</w:t>
      </w:r>
    </w:p>
    <w:p w14:paraId="6579D578">
      <w:pPr>
        <w:pStyle w:val="17"/>
        <w:numPr>
          <w:ilvl w:val="0"/>
          <w:numId w:val="3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0DFF5AED">
      <w:pPr>
        <w:pStyle w:val="17"/>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184FF304">
      <w:pPr>
        <w:pStyle w:val="17"/>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4E2AADC7">
      <w:pPr>
        <w:pStyle w:val="17"/>
        <w:widowControl/>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6599684">
      <w:pPr>
        <w:pStyle w:val="17"/>
        <w:widowControl/>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评价。按照采购文件中规定的评审方法和标准，对资格性检查和符合性检查合格的响应文件进行</w:t>
      </w:r>
      <w:r>
        <w:rPr>
          <w:rFonts w:hint="eastAsia"/>
          <w:color w:val="000000" w:themeColor="text1"/>
          <w14:textFill>
            <w14:solidFill>
              <w14:schemeClr w14:val="tx1"/>
            </w14:solidFill>
          </w14:textFill>
        </w:rPr>
        <w:t>评价</w:t>
      </w:r>
      <w:r>
        <w:rPr>
          <w:color w:val="000000" w:themeColor="text1"/>
          <w14:textFill>
            <w14:solidFill>
              <w14:schemeClr w14:val="tx1"/>
            </w14:solidFill>
          </w14:textFill>
        </w:rPr>
        <w:t>。</w:t>
      </w:r>
    </w:p>
    <w:p w14:paraId="45F01D05">
      <w:pPr>
        <w:pStyle w:val="17"/>
        <w:widowControl/>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评审方法和标准</w:t>
      </w:r>
    </w:p>
    <w:p w14:paraId="27962534">
      <w:pPr>
        <w:pStyle w:val="17"/>
        <w:widowControl/>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采用综合评分法。即在响应文件满足采购文件全部实质性要求前提下，按照评审因素的量化指标评分。</w:t>
      </w:r>
    </w:p>
    <w:p w14:paraId="461E144E">
      <w:pPr>
        <w:pStyle w:val="17"/>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综合评分的主要因素是：价格、技术、服务、业绩、履约能力等。</w:t>
      </w:r>
    </w:p>
    <w:p w14:paraId="0AFDDB11">
      <w:pPr>
        <w:pStyle w:val="17"/>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评分标准详见文件第三章。</w:t>
      </w:r>
    </w:p>
    <w:p w14:paraId="47C9CFC6">
      <w:pPr>
        <w:pStyle w:val="17"/>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确定成交供应商</w:t>
      </w:r>
    </w:p>
    <w:p w14:paraId="2434CC67">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在综合</w:t>
      </w:r>
      <w:r>
        <w:rPr>
          <w:rFonts w:hint="eastAsia"/>
          <w:color w:val="000000" w:themeColor="text1"/>
          <w14:textFill>
            <w14:solidFill>
              <w14:schemeClr w14:val="tx1"/>
            </w14:solidFill>
          </w14:textFill>
        </w:rPr>
        <w:t>评审</w:t>
      </w:r>
      <w:r>
        <w:rPr>
          <w:color w:val="000000" w:themeColor="text1"/>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u w:val="single"/>
          <w14:textFill>
            <w14:solidFill>
              <w14:schemeClr w14:val="tx1"/>
            </w14:solidFill>
          </w14:textFill>
        </w:rPr>
        <w:t>（2）</w:t>
      </w:r>
      <w:r>
        <w:rPr>
          <w:color w:val="000000" w:themeColor="text1"/>
          <w14:textFill>
            <w14:solidFill>
              <w14:schemeClr w14:val="tx1"/>
            </w14:solidFill>
          </w14:textFill>
        </w:rPr>
        <w:t>种方式确定成交供应商</w:t>
      </w:r>
    </w:p>
    <w:p w14:paraId="18924D5C">
      <w:pPr>
        <w:pStyle w:val="17"/>
        <w:numPr>
          <w:ilvl w:val="0"/>
          <w:numId w:val="4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评审委员会直接确定排名第一的成交候选人为成交供应商；</w:t>
      </w:r>
    </w:p>
    <w:p w14:paraId="3FAE6FE7">
      <w:pPr>
        <w:pStyle w:val="17"/>
        <w:numPr>
          <w:ilvl w:val="0"/>
          <w:numId w:val="4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采购人项目单位在评审委员会推荐的成交候选人中按顺序确定成交供应商。</w:t>
      </w:r>
    </w:p>
    <w:p w14:paraId="2207D493">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172D535">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成交供应商确定之日起两个工作日内，将在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南京邮电大学校园网</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发布公告，并向成交供应商发出《成交通知书》。</w:t>
      </w:r>
    </w:p>
    <w:p w14:paraId="4D6A28DF">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《成交通知书》对采购人和成交供应商具有同等法律效力。</w:t>
      </w:r>
    </w:p>
    <w:p w14:paraId="7CAECBF3">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《成交通知书》发出后，成交供应商无正当理由不与采购人签订合同的，应当依法承担法律责任。</w:t>
      </w:r>
    </w:p>
    <w:p w14:paraId="58D31A6B">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代理机构和评审委员会对未成交的供应商不作未成交原因的解释。</w:t>
      </w:r>
    </w:p>
    <w:p w14:paraId="35A95F80">
      <w:pPr>
        <w:pStyle w:val="17"/>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所有响应文件不论成交与否均不退回。</w:t>
      </w:r>
    </w:p>
    <w:p w14:paraId="3DC1892B">
      <w:pPr>
        <w:pStyle w:val="17"/>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编写评审报告</w:t>
      </w:r>
    </w:p>
    <w:p w14:paraId="44B7FE07">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评审委员会根据全体评审成员签字的原始评审记录和评审结果编写评审报告。</w:t>
      </w:r>
    </w:p>
    <w:p w14:paraId="6199305A">
      <w:pPr>
        <w:pStyle w:val="17"/>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评审过程的保密</w:t>
      </w:r>
    </w:p>
    <w:p w14:paraId="4CE0D66B">
      <w:pPr>
        <w:pStyle w:val="17"/>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代理机构将采取必要措施，保证评审在严格保密的情况下进行。</w:t>
      </w:r>
    </w:p>
    <w:p w14:paraId="688EAC06">
      <w:pPr>
        <w:pStyle w:val="17"/>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任何单位和个人不得非法干预、影响评审办法的确定，以及评审过程和结果。</w:t>
      </w:r>
    </w:p>
    <w:p w14:paraId="446A4443">
      <w:pPr>
        <w:pStyle w:val="17"/>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凡是与审查、澄清、评价和比较响应的有关资料等，均不得向供应商及与评审无关的人员透露。</w:t>
      </w:r>
    </w:p>
    <w:p w14:paraId="3BC98F43">
      <w:pPr>
        <w:pStyle w:val="17"/>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签订合同</w:t>
      </w:r>
    </w:p>
    <w:p w14:paraId="3E89DDC6">
      <w:pPr>
        <w:pStyle w:val="17"/>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24.签订合同</w:t>
      </w:r>
    </w:p>
    <w:p w14:paraId="4A0DC600">
      <w:pPr>
        <w:pStyle w:val="17"/>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0D71DC5F">
      <w:pPr>
        <w:pStyle w:val="17"/>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采购人不得向成交供应商提出任何不合理的要求作为签订合同的条件，不得与成交供应商私下订立背离合同实质性内容的协议。</w:t>
      </w:r>
    </w:p>
    <w:p w14:paraId="641FF157">
      <w:pPr>
        <w:pStyle w:val="17"/>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387A85BA">
      <w:pPr>
        <w:pStyle w:val="17"/>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4F68F25B">
      <w:pPr>
        <w:pStyle w:val="17"/>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询问、质疑、投诉和诚实信用</w:t>
      </w:r>
    </w:p>
    <w:p w14:paraId="08267955">
      <w:pPr>
        <w:pStyle w:val="17"/>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询问提出与答复</w:t>
      </w:r>
    </w:p>
    <w:p w14:paraId="4709776A">
      <w:pPr>
        <w:pStyle w:val="17"/>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、代理机构（以下简称被询问人）提出询问。</w:t>
      </w:r>
    </w:p>
    <w:p w14:paraId="5136E690">
      <w:pPr>
        <w:pStyle w:val="17"/>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4237FFF9">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7963CF3E">
      <w:pPr>
        <w:pStyle w:val="17"/>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如供应商询问事项涉及依法应当保密的内容，被询问人不予答复，向供应商说明理由和依据。</w:t>
      </w:r>
    </w:p>
    <w:p w14:paraId="05126AEC">
      <w:pPr>
        <w:pStyle w:val="17"/>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质疑提出与答复</w:t>
      </w:r>
    </w:p>
    <w:p w14:paraId="2E9C9AB4">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、代理机构提出质疑。</w:t>
      </w:r>
    </w:p>
    <w:p w14:paraId="48E7C35B">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26.1.1供应商在规定质疑期内应一次性提出针对同一采购程序环节的质疑。</w:t>
      </w:r>
    </w:p>
    <w:p w14:paraId="7E3E5D56">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供应商知道或者应知其权益受到损害之日，是指：</w:t>
      </w:r>
    </w:p>
    <w:p w14:paraId="398F9FEF">
      <w:pPr>
        <w:pStyle w:val="17"/>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对可以质疑的采购文件提出质疑的，为收到采购文件之日或者采购文件公告期限届满之日；</w:t>
      </w:r>
    </w:p>
    <w:p w14:paraId="55F758AF">
      <w:pPr>
        <w:pStyle w:val="17"/>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对采购过程提出质疑的，为各采购程序环节结束之日；</w:t>
      </w:r>
    </w:p>
    <w:p w14:paraId="0D1208A5">
      <w:pPr>
        <w:pStyle w:val="17"/>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对成交或者成交结果提出质疑的，为成交或者成交结果公告期限届满之日。</w:t>
      </w:r>
    </w:p>
    <w:p w14:paraId="07E257F8">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提出质疑的供应商应当是参与所质疑项目采购活动的供应商。潜在供应商已依法获取其可质疑的采购文件的，可以对该文件提出质疑。</w:t>
      </w:r>
    </w:p>
    <w:p w14:paraId="11557726">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供应商提出质疑应当提交质疑函和必要的证明材料。质疑函应当包括下列内容：</w:t>
      </w:r>
    </w:p>
    <w:p w14:paraId="16C8AD2C">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供应商的姓名或者名称、地址、邮编、联系人及联系电话；</w:t>
      </w:r>
    </w:p>
    <w:p w14:paraId="2BA82596">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质疑项目的名称、编号；</w:t>
      </w:r>
    </w:p>
    <w:p w14:paraId="6CB6B299">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具体、明确的质疑事项和与质疑事项相关的请求；</w:t>
      </w:r>
    </w:p>
    <w:p w14:paraId="37EE7FE2">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事实依据；</w:t>
      </w:r>
    </w:p>
    <w:p w14:paraId="53ACD4F2">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必要的法律依据；</w:t>
      </w:r>
    </w:p>
    <w:p w14:paraId="28722B92">
      <w:pPr>
        <w:pStyle w:val="17"/>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提出质疑的日期。</w:t>
      </w:r>
    </w:p>
    <w:p w14:paraId="3EFE49D8">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供应商为自然人的，应当由本人签字；供应商为法人或者其他组织的，应当由法定代表人、主要负责人，或者其授权代表签字或者盖章，并加盖公章。</w:t>
      </w:r>
    </w:p>
    <w:p w14:paraId="3C63BA16">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、代理机构不得拒收质疑供应商在规定质疑期内发出的质疑函。质疑函通过邮寄送达的，按交邮时间计算。逾期送达的，不予接收。</w:t>
      </w:r>
    </w:p>
    <w:p w14:paraId="58E6B6EE">
      <w:pPr>
        <w:pStyle w:val="17"/>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、代理机构不予受理，并书面告知理由：</w:t>
      </w:r>
    </w:p>
    <w:p w14:paraId="2604B99B">
      <w:pPr>
        <w:pStyle w:val="17"/>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供应商不是参与所质疑项目采购活动的供应商或依法获取可质疑采购文件的潜在供应商；</w:t>
      </w:r>
    </w:p>
    <w:p w14:paraId="1E512D6D">
      <w:pPr>
        <w:pStyle w:val="17"/>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潜在供应商所质疑事项均为采购文件以外的事项；</w:t>
      </w:r>
    </w:p>
    <w:p w14:paraId="2B487854">
      <w:pPr>
        <w:pStyle w:val="17"/>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供应商提交质疑的时间已超过规定质疑期。</w:t>
      </w:r>
    </w:p>
    <w:p w14:paraId="163CFE2B">
      <w:pPr>
        <w:pStyle w:val="17"/>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质疑函未按规定签字、盖章，或代理人提出质疑未提交供应商签署的授权委托书，采购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、代理机构告知后，供应商或代理人未在规定质疑期内补正后提出的。</w:t>
      </w:r>
    </w:p>
    <w:p w14:paraId="3CEF6E52">
      <w:pPr>
        <w:pStyle w:val="17"/>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其它不符合受理条件的情形。</w:t>
      </w:r>
    </w:p>
    <w:p w14:paraId="48680A31">
      <w:pPr>
        <w:pStyle w:val="17"/>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投诉提起与处理</w:t>
      </w:r>
    </w:p>
    <w:p w14:paraId="5A5BE1CD">
      <w:pPr>
        <w:pStyle w:val="17"/>
        <w:numPr>
          <w:ilvl w:val="0"/>
          <w:numId w:val="4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投诉提起</w:t>
      </w:r>
    </w:p>
    <w:p w14:paraId="11F253CF">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质疑供应商对代理机构的答复不满意，或者代理机构未在规定时间内作出答复的，可</w:t>
      </w:r>
      <w:r>
        <w:rPr>
          <w:rFonts w:hint="eastAsia"/>
          <w:color w:val="000000" w:themeColor="text1"/>
          <w14:textFill>
            <w14:solidFill>
              <w14:schemeClr w14:val="tx1"/>
            </w14:solidFill>
          </w14:textFill>
        </w:rPr>
        <w:t>可以在答复期满后10日内</w:t>
      </w:r>
      <w:r>
        <w:rPr>
          <w:color w:val="000000" w:themeColor="text1"/>
          <w14:textFill>
            <w14:solidFill>
              <w14:schemeClr w14:val="tx1"/>
            </w14:solidFill>
          </w14:textFill>
        </w:rPr>
        <w:t>向有关行政监督部门提起投诉。</w:t>
      </w:r>
    </w:p>
    <w:p w14:paraId="1885F9FA">
      <w:pPr>
        <w:pStyle w:val="17"/>
        <w:numPr>
          <w:ilvl w:val="0"/>
          <w:numId w:val="4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供应商投诉时，应当提交投诉书和必要的证明材料。投诉书应当包括下列内容：</w:t>
      </w:r>
    </w:p>
    <w:p w14:paraId="66D3B420">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投诉人和被投诉人的姓名或者名称、通讯地址、邮编、联系人及联系电话；</w:t>
      </w:r>
    </w:p>
    <w:p w14:paraId="62B21454">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质疑和质疑答复情况说明及相关证明材料；</w:t>
      </w:r>
    </w:p>
    <w:p w14:paraId="64C2B926">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具体、明确的投诉事项和与投诉事项相关的投诉请求；</w:t>
      </w:r>
    </w:p>
    <w:p w14:paraId="1D45D075">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事实依据；</w:t>
      </w:r>
    </w:p>
    <w:p w14:paraId="1A5AD054">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法律依据；</w:t>
      </w:r>
    </w:p>
    <w:p w14:paraId="28F6E65B">
      <w:pPr>
        <w:pStyle w:val="17"/>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提起投诉的日期。</w:t>
      </w:r>
    </w:p>
    <w:p w14:paraId="22F0019C">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投诉人为自然人的，应当由本人签字；投诉人为法人或者其他组织的，应当由法定代表人、主要负责人，或者其授权代表签字或者盖章，并加盖公章。</w:t>
      </w:r>
    </w:p>
    <w:p w14:paraId="6C7A7B43">
      <w:pPr>
        <w:pStyle w:val="17"/>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诚实信用</w:t>
      </w:r>
    </w:p>
    <w:p w14:paraId="31D79F05">
      <w:pPr>
        <w:pStyle w:val="17"/>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供应商之间不得相互串通响应报价，不得妨碍其他供应商的公平竞争，不得损害采购人和其他供应商的合法权益。</w:t>
      </w:r>
    </w:p>
    <w:p w14:paraId="37FC4906">
      <w:pPr>
        <w:pStyle w:val="17"/>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648A4C96">
      <w:pPr>
        <w:pStyle w:val="17"/>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28A8F56E">
      <w:pPr>
        <w:pStyle w:val="17"/>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供应商不得虚假承诺，否则，按照提供虚假材料谋取成交处理。</w:t>
      </w:r>
    </w:p>
    <w:p w14:paraId="74DC35C1">
      <w:pPr>
        <w:pStyle w:val="267"/>
        <w:rPr>
          <w:color w:val="000000" w:themeColor="text1"/>
          <w14:textFill>
            <w14:solidFill>
              <w14:schemeClr w14:val="tx1"/>
            </w14:solidFill>
          </w14:textFill>
        </w:rPr>
      </w:pPr>
      <w:r>
        <w:rPr>
          <w:color w:val="000000" w:themeColor="text1"/>
          <w14:textFill>
            <w14:solidFill>
              <w14:schemeClr w14:val="tx1"/>
            </w14:solidFill>
          </w14:textFill>
        </w:rPr>
        <w:t>第三章  评</w:t>
      </w:r>
      <w:r>
        <w:rPr>
          <w:rFonts w:hint="eastAsia"/>
          <w:color w:val="000000" w:themeColor="text1"/>
          <w14:textFill>
            <w14:solidFill>
              <w14:schemeClr w14:val="tx1"/>
            </w14:solidFill>
          </w14:textFill>
        </w:rPr>
        <w:t>审</w:t>
      </w:r>
      <w:r>
        <w:rPr>
          <w:color w:val="000000" w:themeColor="text1"/>
          <w14:textFill>
            <w14:solidFill>
              <w14:schemeClr w14:val="tx1"/>
            </w14:solidFill>
          </w14:textFill>
        </w:rPr>
        <w:t>标准</w:t>
      </w:r>
    </w:p>
    <w:p w14:paraId="3F07212D">
      <w:pPr>
        <w:pStyle w:val="17"/>
        <w:numPr>
          <w:ilvl w:val="0"/>
          <w:numId w:val="5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评审方法与</w:t>
      </w:r>
      <w:r>
        <w:rPr>
          <w:rFonts w:hint="eastAsia"/>
          <w:b/>
          <w:color w:val="000000" w:themeColor="text1"/>
          <w14:textFill>
            <w14:solidFill>
              <w14:schemeClr w14:val="tx1"/>
            </w14:solidFill>
          </w14:textFill>
        </w:rPr>
        <w:t>确定成交供应商</w:t>
      </w:r>
      <w:r>
        <w:rPr>
          <w:b/>
          <w:color w:val="000000" w:themeColor="text1"/>
          <w14:textFill>
            <w14:solidFill>
              <w14:schemeClr w14:val="tx1"/>
            </w14:solidFill>
          </w14:textFill>
        </w:rPr>
        <w:t>原则</w:t>
      </w:r>
    </w:p>
    <w:p w14:paraId="0F90A320">
      <w:pPr>
        <w:pStyle w:val="17"/>
        <w:spacing w:line="360" w:lineRule="auto"/>
        <w:ind w:firstLine="480"/>
        <w:rPr>
          <w:rFonts w:ascii="宋体" w:hAnsi="宋体" w:cs="宋体"/>
          <w:color w:val="000000"/>
        </w:rPr>
      </w:pPr>
      <w:r>
        <w:rPr>
          <w:rFonts w:hint="eastAsia" w:ascii="宋体" w:hAnsi="宋体" w:cs="宋体"/>
          <w:color w:val="000000"/>
        </w:rPr>
        <w:t>本项目采用综合评分法。评审工作组将对确定为实质性响应采购文件要求的响应文件进行评审，评分统计方法采用百分制（满分100分），将全部评委评分直接进行算术平均，小数点后保留2位。</w:t>
      </w:r>
    </w:p>
    <w:p w14:paraId="3ACECC0E">
      <w:pPr>
        <w:pStyle w:val="17"/>
        <w:spacing w:line="360" w:lineRule="auto"/>
        <w:ind w:firstLine="480"/>
        <w:rPr>
          <w:rFonts w:ascii="宋体" w:hAnsi="宋体" w:cs="宋体"/>
        </w:rPr>
      </w:pPr>
      <w:r>
        <w:rPr>
          <w:rFonts w:hint="eastAsia" w:ascii="宋体" w:hAnsi="宋体" w:cs="宋体"/>
          <w:color w:val="000000"/>
        </w:rPr>
        <w:t>评审委员会根据供应商总得分由高到低的顺序推荐前三名作为成交候选人。总得分相同的，按响应报价由低到高顺序排列；总得分及响应报价相同的，总得分及响应报价相同的，由评审委员会按照评审因素的量化指标评审得分最高的供应商为排名第一的成交候选人。</w:t>
      </w:r>
    </w:p>
    <w:p w14:paraId="2A770F3A">
      <w:pPr>
        <w:pStyle w:val="17"/>
        <w:numPr>
          <w:ilvl w:val="0"/>
          <w:numId w:val="5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评分标准</w:t>
      </w:r>
    </w:p>
    <w:p w14:paraId="348FEB41">
      <w:pPr>
        <w:spacing w:line="360" w:lineRule="auto"/>
        <w:rPr>
          <w:rFonts w:ascii="宋体" w:hAnsi="宋体"/>
          <w:b/>
          <w:bCs/>
        </w:rPr>
      </w:pPr>
      <w:r>
        <w:rPr>
          <w:rFonts w:hint="eastAsia" w:ascii="宋体" w:hAnsi="宋体"/>
          <w:b/>
          <w:bCs/>
        </w:rPr>
        <w:t>2.1初步评审</w:t>
      </w:r>
    </w:p>
    <w:tbl>
      <w:tblPr>
        <w:tblStyle w:val="45"/>
        <w:tblW w:w="4996" w:type="pct"/>
        <w:tblInd w:w="0" w:type="dxa"/>
        <w:tblLayout w:type="autofit"/>
        <w:tblCellMar>
          <w:top w:w="0" w:type="dxa"/>
          <w:left w:w="108" w:type="dxa"/>
          <w:bottom w:w="0" w:type="dxa"/>
          <w:right w:w="108" w:type="dxa"/>
        </w:tblCellMar>
      </w:tblPr>
      <w:tblGrid>
        <w:gridCol w:w="1401"/>
        <w:gridCol w:w="2615"/>
        <w:gridCol w:w="5660"/>
      </w:tblGrid>
      <w:tr w14:paraId="592C36A9">
        <w:tblPrEx>
          <w:tblCellMar>
            <w:top w:w="0" w:type="dxa"/>
            <w:left w:w="108" w:type="dxa"/>
            <w:bottom w:w="0" w:type="dxa"/>
            <w:right w:w="108" w:type="dxa"/>
          </w:tblCellMar>
        </w:tblPrEx>
        <w:trPr>
          <w:trHeight w:val="385" w:hRule="atLeast"/>
          <w:tblHeader/>
        </w:trPr>
        <w:tc>
          <w:tcPr>
            <w:tcW w:w="207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40E586">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评审因素</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1EF0B">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评审标准</w:t>
            </w:r>
          </w:p>
        </w:tc>
      </w:tr>
      <w:tr w14:paraId="5C5BB6AA">
        <w:tblPrEx>
          <w:tblCellMar>
            <w:top w:w="0" w:type="dxa"/>
            <w:left w:w="108" w:type="dxa"/>
            <w:bottom w:w="0" w:type="dxa"/>
            <w:right w:w="108" w:type="dxa"/>
          </w:tblCellMar>
        </w:tblPrEx>
        <w:trPr>
          <w:trHeight w:val="576" w:hRule="atLeast"/>
          <w:tblHeader/>
        </w:trPr>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39DE0B">
            <w:pPr>
              <w:widowControl/>
              <w:jc w:val="center"/>
              <w:textAlignment w:val="center"/>
              <w:rPr>
                <w:rFonts w:ascii="宋体" w:hAnsi="宋体" w:cs="宋体"/>
                <w:color w:val="000000"/>
                <w:szCs w:val="21"/>
              </w:rPr>
            </w:pPr>
            <w:r>
              <w:rPr>
                <w:rFonts w:hint="eastAsia" w:ascii="宋体" w:hAnsi="宋体" w:cs="宋体"/>
                <w:color w:val="000000"/>
                <w:szCs w:val="21"/>
                <w:lang w:bidi="ar"/>
              </w:rPr>
              <w:t>资格评审</w:t>
            </w: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80E03">
            <w:pPr>
              <w:widowControl/>
              <w:jc w:val="center"/>
              <w:textAlignment w:val="center"/>
              <w:rPr>
                <w:rFonts w:ascii="宋体" w:hAnsi="宋体" w:cs="宋体"/>
                <w:color w:val="000000"/>
                <w:szCs w:val="21"/>
              </w:rPr>
            </w:pPr>
            <w:r>
              <w:rPr>
                <w:rFonts w:hint="eastAsia" w:ascii="宋体" w:hAnsi="宋体" w:cs="宋体"/>
                <w:color w:val="000000"/>
                <w:szCs w:val="21"/>
                <w:lang w:bidi="ar"/>
              </w:rPr>
              <w:t>基本要求</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E3D8B">
            <w:pPr>
              <w:widowControl/>
              <w:jc w:val="left"/>
              <w:textAlignment w:val="center"/>
              <w:rPr>
                <w:rFonts w:ascii="宋体" w:hAnsi="宋体" w:cs="宋体"/>
                <w:color w:val="000000"/>
                <w:szCs w:val="21"/>
              </w:rPr>
            </w:pPr>
            <w:r>
              <w:rPr>
                <w:rFonts w:hint="eastAsia" w:ascii="宋体" w:hAnsi="宋体" w:cs="宋体"/>
                <w:color w:val="000000"/>
                <w:szCs w:val="21"/>
                <w:lang w:bidi="ar"/>
              </w:rPr>
              <w:t>法人或者其他组织的营业执照等证明文件，自然人的身份证明，</w:t>
            </w:r>
            <w:r>
              <w:rPr>
                <w:rStyle w:val="286"/>
                <w:rFonts w:hint="default"/>
                <w:lang w:bidi="ar"/>
              </w:rPr>
              <w:t>提供相关证明材料加盖公章</w:t>
            </w:r>
          </w:p>
        </w:tc>
      </w:tr>
      <w:tr w14:paraId="56C3E907">
        <w:tblPrEx>
          <w:tblCellMar>
            <w:top w:w="0" w:type="dxa"/>
            <w:left w:w="108" w:type="dxa"/>
            <w:bottom w:w="0" w:type="dxa"/>
            <w:right w:w="108" w:type="dxa"/>
          </w:tblCellMar>
        </w:tblPrEx>
        <w:trPr>
          <w:trHeight w:val="2016"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B884D">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8C512">
            <w:pPr>
              <w:widowControl/>
              <w:jc w:val="center"/>
              <w:textAlignment w:val="center"/>
              <w:rPr>
                <w:rFonts w:ascii="宋体" w:hAnsi="宋体" w:cs="宋体"/>
                <w:color w:val="000000"/>
                <w:szCs w:val="21"/>
              </w:rPr>
            </w:pPr>
            <w:r>
              <w:rPr>
                <w:rFonts w:hint="eastAsia" w:ascii="宋体" w:hAnsi="宋体" w:cs="宋体"/>
                <w:color w:val="000000"/>
                <w:szCs w:val="21"/>
                <w:lang w:bidi="ar"/>
              </w:rPr>
              <w:t>财务状况</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D07E0">
            <w:pPr>
              <w:widowControl/>
              <w:textAlignment w:val="center"/>
              <w:rPr>
                <w:rFonts w:ascii="宋体" w:hAnsi="宋体" w:cs="宋体"/>
                <w:color w:val="000000"/>
                <w:szCs w:val="21"/>
              </w:rPr>
            </w:pPr>
            <w:r>
              <w:rPr>
                <w:rFonts w:hint="eastAsia" w:ascii="宋体" w:hAnsi="宋体" w:cs="宋体"/>
                <w:color w:val="000000"/>
                <w:szCs w:val="21"/>
                <w:lang w:bidi="ar"/>
              </w:rPr>
              <w:t>具有良好的商业信誉和健全的财务会计制度（2025年度的审计报告复印件加盖公章或响应截止时间前半年内（2026年1月至2026年6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r>
              <w:rPr>
                <w:rStyle w:val="286"/>
                <w:rFonts w:hint="default"/>
                <w:lang w:bidi="ar"/>
              </w:rPr>
              <w:t>提供证明材料加盖公章</w:t>
            </w:r>
          </w:p>
        </w:tc>
      </w:tr>
      <w:tr w14:paraId="4A2C61A8">
        <w:tblPrEx>
          <w:tblCellMar>
            <w:top w:w="0" w:type="dxa"/>
            <w:left w:w="108" w:type="dxa"/>
            <w:bottom w:w="0" w:type="dxa"/>
            <w:right w:w="108" w:type="dxa"/>
          </w:tblCellMar>
        </w:tblPrEx>
        <w:trPr>
          <w:trHeight w:val="864"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F846A">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7AC4E">
            <w:pPr>
              <w:widowControl/>
              <w:jc w:val="center"/>
              <w:textAlignment w:val="center"/>
              <w:rPr>
                <w:rFonts w:ascii="宋体" w:hAnsi="宋体" w:cs="宋体"/>
                <w:color w:val="000000"/>
                <w:szCs w:val="21"/>
              </w:rPr>
            </w:pPr>
            <w:r>
              <w:rPr>
                <w:rFonts w:hint="eastAsia" w:ascii="宋体" w:hAnsi="宋体" w:cs="宋体"/>
                <w:color w:val="000000"/>
                <w:szCs w:val="21"/>
                <w:lang w:bidi="ar"/>
              </w:rPr>
              <w:t>技术能力声明</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9DEFC">
            <w:pPr>
              <w:widowControl/>
              <w:textAlignment w:val="center"/>
              <w:rPr>
                <w:rFonts w:ascii="宋体" w:hAnsi="宋体" w:cs="宋体"/>
                <w:color w:val="000000"/>
                <w:szCs w:val="21"/>
              </w:rPr>
            </w:pPr>
            <w:r>
              <w:rPr>
                <w:rFonts w:hint="eastAsia" w:ascii="宋体" w:hAnsi="宋体" w:cs="宋体"/>
                <w:color w:val="000000"/>
                <w:szCs w:val="21"/>
                <w:lang w:bidi="ar"/>
              </w:rPr>
              <w:t>具有履行合同所必需的设备和专业技术能力（根据项目需求提供履行合同所必需的设备和专业技术能力的声明函或证明材料）</w:t>
            </w:r>
            <w:r>
              <w:rPr>
                <w:rStyle w:val="286"/>
                <w:rFonts w:hint="default"/>
                <w:lang w:bidi="ar"/>
              </w:rPr>
              <w:t>提供原件加盖公章</w:t>
            </w:r>
          </w:p>
        </w:tc>
      </w:tr>
      <w:tr w14:paraId="59480898">
        <w:tblPrEx>
          <w:tblCellMar>
            <w:top w:w="0" w:type="dxa"/>
            <w:left w:w="108" w:type="dxa"/>
            <w:bottom w:w="0" w:type="dxa"/>
            <w:right w:w="108" w:type="dxa"/>
          </w:tblCellMar>
        </w:tblPrEx>
        <w:trPr>
          <w:trHeight w:val="172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B4A64">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1A86E">
            <w:pPr>
              <w:widowControl/>
              <w:jc w:val="center"/>
              <w:textAlignment w:val="center"/>
              <w:rPr>
                <w:rFonts w:ascii="宋体" w:hAnsi="宋体" w:cs="宋体"/>
                <w:color w:val="000000"/>
                <w:szCs w:val="21"/>
              </w:rPr>
            </w:pPr>
            <w:r>
              <w:rPr>
                <w:rFonts w:hint="eastAsia" w:ascii="宋体" w:hAnsi="宋体" w:cs="宋体"/>
                <w:color w:val="000000"/>
                <w:szCs w:val="21"/>
                <w:lang w:bidi="ar"/>
              </w:rPr>
              <w:t>纳税情况</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77674">
            <w:pPr>
              <w:widowControl/>
              <w:textAlignment w:val="center"/>
              <w:rPr>
                <w:rFonts w:ascii="宋体" w:hAnsi="宋体" w:cs="宋体"/>
                <w:color w:val="000000"/>
                <w:szCs w:val="21"/>
              </w:rPr>
            </w:pPr>
            <w:r>
              <w:rPr>
                <w:rFonts w:hint="eastAsia" w:ascii="宋体" w:hAnsi="宋体" w:cs="宋体"/>
                <w:color w:val="000000"/>
                <w:szCs w:val="21"/>
                <w:lang w:bidi="ar"/>
              </w:rPr>
              <w:t>有依法缴纳税收和社会保障资金的良好记录（提供响应截止时间前半年内（2026年1月至2026年6月）至少一个月缴纳税收（企业代缴的个人所得税除外）的凭据复印件加盖公章，并提供缴纳社会保险的凭据（专用收据或社会保险缴纳清单）复印件加盖公章，根据国家相关政策免缴或迟缴的需提供相关证明材料）</w:t>
            </w:r>
            <w:r>
              <w:rPr>
                <w:rStyle w:val="287"/>
                <w:rFonts w:hint="default"/>
                <w:lang w:bidi="ar"/>
              </w:rPr>
              <w:t>。</w:t>
            </w:r>
            <w:r>
              <w:rPr>
                <w:rStyle w:val="286"/>
                <w:rFonts w:hint="default"/>
                <w:lang w:bidi="ar"/>
              </w:rPr>
              <w:t>证明材料提供复印件加盖公章</w:t>
            </w:r>
          </w:p>
        </w:tc>
      </w:tr>
      <w:tr w14:paraId="49C25402">
        <w:tblPrEx>
          <w:tblCellMar>
            <w:top w:w="0" w:type="dxa"/>
            <w:left w:w="108" w:type="dxa"/>
            <w:bottom w:w="0" w:type="dxa"/>
            <w:right w:w="108" w:type="dxa"/>
          </w:tblCellMar>
        </w:tblPrEx>
        <w:trPr>
          <w:trHeight w:val="864"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EA1DC">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44B51">
            <w:pPr>
              <w:widowControl/>
              <w:jc w:val="center"/>
              <w:textAlignment w:val="center"/>
              <w:rPr>
                <w:rFonts w:ascii="宋体" w:hAnsi="宋体" w:cs="宋体"/>
                <w:color w:val="000000"/>
                <w:szCs w:val="21"/>
              </w:rPr>
            </w:pPr>
            <w:r>
              <w:rPr>
                <w:rFonts w:hint="eastAsia" w:ascii="宋体" w:hAnsi="宋体" w:cs="宋体"/>
                <w:color w:val="000000"/>
                <w:szCs w:val="21"/>
                <w:lang w:bidi="ar"/>
              </w:rPr>
              <w:t>重大违法记录书面声明</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A2677">
            <w:pPr>
              <w:widowControl/>
              <w:textAlignment w:val="center"/>
              <w:rPr>
                <w:rFonts w:ascii="宋体" w:hAnsi="宋体" w:cs="宋体"/>
                <w:color w:val="000000"/>
                <w:szCs w:val="21"/>
              </w:rPr>
            </w:pPr>
            <w:r>
              <w:rPr>
                <w:rFonts w:hint="eastAsia" w:ascii="宋体" w:hAnsi="宋体" w:cs="宋体"/>
                <w:color w:val="000000"/>
                <w:szCs w:val="21"/>
                <w:lang w:bidi="ar"/>
              </w:rPr>
              <w:t>参加本次采购活动前三年内，在经营活动中没有重大违法记录（提供参加本次采购活动前3年内在经营活动中没有重大违法记录的书面声明）；</w:t>
            </w:r>
            <w:r>
              <w:rPr>
                <w:rStyle w:val="286"/>
                <w:rFonts w:hint="default"/>
                <w:lang w:bidi="ar"/>
              </w:rPr>
              <w:t>提供原件加盖公章</w:t>
            </w:r>
          </w:p>
        </w:tc>
      </w:tr>
      <w:tr w14:paraId="4361A22F">
        <w:tblPrEx>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DB415">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25DEC">
            <w:pPr>
              <w:widowControl/>
              <w:jc w:val="center"/>
              <w:textAlignment w:val="center"/>
              <w:rPr>
                <w:rFonts w:ascii="宋体" w:hAnsi="宋体" w:cs="宋体"/>
                <w:color w:val="000000"/>
                <w:szCs w:val="21"/>
              </w:rPr>
            </w:pPr>
            <w:r>
              <w:rPr>
                <w:rFonts w:hint="eastAsia" w:ascii="宋体" w:hAnsi="宋体" w:cs="宋体"/>
                <w:color w:val="000000"/>
                <w:szCs w:val="21"/>
                <w:lang w:bidi="ar"/>
              </w:rPr>
              <w:t>非联合体要求</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A0DD7">
            <w:pPr>
              <w:widowControl/>
              <w:textAlignment w:val="center"/>
              <w:rPr>
                <w:rFonts w:ascii="宋体" w:hAnsi="宋体" w:cs="宋体"/>
                <w:color w:val="000000"/>
                <w:szCs w:val="21"/>
              </w:rPr>
            </w:pPr>
            <w:r>
              <w:rPr>
                <w:rFonts w:hint="eastAsia" w:ascii="宋体" w:hAnsi="宋体" w:cs="宋体"/>
                <w:color w:val="000000"/>
                <w:szCs w:val="21"/>
                <w:lang w:bidi="ar"/>
              </w:rPr>
              <w:t>本项目不接受联合体投标。</w:t>
            </w:r>
          </w:p>
        </w:tc>
      </w:tr>
      <w:tr w14:paraId="6D48B388">
        <w:tblPrEx>
          <w:tblCellMar>
            <w:top w:w="0" w:type="dxa"/>
            <w:left w:w="108" w:type="dxa"/>
            <w:bottom w:w="0" w:type="dxa"/>
            <w:right w:w="108" w:type="dxa"/>
          </w:tblCellMar>
        </w:tblPrEx>
        <w:trPr>
          <w:trHeight w:val="576"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7BDF1">
            <w:pPr>
              <w:jc w:val="center"/>
              <w:rPr>
                <w:rFonts w:ascii="宋体" w:hAnsi="宋体" w:cs="宋体"/>
                <w:color w:val="000000"/>
                <w:szCs w:val="21"/>
              </w:rPr>
            </w:pPr>
          </w:p>
        </w:tc>
        <w:tc>
          <w:tcPr>
            <w:tcW w:w="13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5E8A5C">
            <w:pPr>
              <w:widowControl/>
              <w:jc w:val="center"/>
              <w:textAlignment w:val="center"/>
              <w:rPr>
                <w:rFonts w:ascii="宋体" w:hAnsi="宋体" w:cs="宋体"/>
                <w:color w:val="000000"/>
                <w:szCs w:val="21"/>
              </w:rPr>
            </w:pPr>
            <w:r>
              <w:rPr>
                <w:rFonts w:hint="eastAsia" w:ascii="宋体" w:hAnsi="宋体" w:cs="宋体"/>
                <w:color w:val="000000"/>
                <w:szCs w:val="21"/>
                <w:lang w:bidi="ar"/>
              </w:rPr>
              <w:t>不得参与响应的情形</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ED406">
            <w:pPr>
              <w:widowControl/>
              <w:textAlignment w:val="center"/>
              <w:rPr>
                <w:rFonts w:ascii="宋体" w:hAnsi="宋体" w:cs="宋体"/>
                <w:color w:val="000000"/>
                <w:szCs w:val="21"/>
              </w:rPr>
            </w:pPr>
            <w:r>
              <w:rPr>
                <w:rFonts w:hint="eastAsia" w:ascii="宋体" w:hAnsi="宋体" w:cs="宋体"/>
                <w:color w:val="000000"/>
                <w:szCs w:val="21"/>
                <w:lang w:bidi="ar"/>
              </w:rPr>
              <w:t>供应商单位负责人为同一人或者存在直接控股、管理关系的不同供应商，不得参加同一合同项下的采购或采购活动。</w:t>
            </w:r>
          </w:p>
        </w:tc>
      </w:tr>
      <w:tr w14:paraId="450E1888">
        <w:tblPrEx>
          <w:tblCellMar>
            <w:top w:w="0" w:type="dxa"/>
            <w:left w:w="108" w:type="dxa"/>
            <w:bottom w:w="0" w:type="dxa"/>
            <w:right w:w="108" w:type="dxa"/>
          </w:tblCellMar>
        </w:tblPrEx>
        <w:trPr>
          <w:trHeight w:val="576"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C61F1">
            <w:pPr>
              <w:jc w:val="center"/>
              <w:rPr>
                <w:rFonts w:ascii="宋体" w:hAnsi="宋体" w:cs="宋体"/>
                <w:color w:val="000000"/>
                <w:szCs w:val="21"/>
              </w:rPr>
            </w:pPr>
          </w:p>
        </w:tc>
        <w:tc>
          <w:tcPr>
            <w:tcW w:w="1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62600">
            <w:pPr>
              <w:jc w:val="center"/>
              <w:rPr>
                <w:rFonts w:ascii="宋体" w:hAnsi="宋体" w:cs="宋体"/>
                <w:color w:val="000000"/>
                <w:szCs w:val="21"/>
              </w:rPr>
            </w:pP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CCAD5">
            <w:pPr>
              <w:widowControl/>
              <w:textAlignment w:val="center"/>
              <w:rPr>
                <w:rFonts w:ascii="宋体" w:hAnsi="宋体" w:cs="宋体"/>
                <w:color w:val="000000"/>
                <w:szCs w:val="21"/>
              </w:rPr>
            </w:pPr>
            <w:r>
              <w:rPr>
                <w:rFonts w:hint="eastAsia" w:ascii="宋体" w:hAnsi="宋体" w:cs="宋体"/>
                <w:color w:val="000000"/>
                <w:szCs w:val="21"/>
                <w:lang w:bidi="ar"/>
              </w:rPr>
              <w:t>凡为本项目提供整体设计、规范编制或者项目管理、检测等服务的供应商，不得再参加本项目的采购或采购活动。</w:t>
            </w:r>
          </w:p>
        </w:tc>
      </w:tr>
      <w:tr w14:paraId="6284F717">
        <w:tblPrEx>
          <w:tblCellMar>
            <w:top w:w="0" w:type="dxa"/>
            <w:left w:w="108" w:type="dxa"/>
            <w:bottom w:w="0" w:type="dxa"/>
            <w:right w:w="108" w:type="dxa"/>
          </w:tblCellMar>
        </w:tblPrEx>
        <w:trPr>
          <w:trHeight w:val="864"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FFA5D">
            <w:pPr>
              <w:jc w:val="center"/>
              <w:rPr>
                <w:rFonts w:ascii="宋体" w:hAnsi="宋体" w:cs="宋体"/>
                <w:color w:val="000000"/>
                <w:szCs w:val="21"/>
              </w:rPr>
            </w:pPr>
          </w:p>
        </w:tc>
        <w:tc>
          <w:tcPr>
            <w:tcW w:w="13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49D45">
            <w:pPr>
              <w:jc w:val="center"/>
              <w:rPr>
                <w:rFonts w:ascii="宋体" w:hAnsi="宋体" w:cs="宋体"/>
                <w:color w:val="000000"/>
                <w:szCs w:val="21"/>
              </w:rPr>
            </w:pP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257F4">
            <w:pPr>
              <w:widowControl/>
              <w:textAlignment w:val="center"/>
              <w:rPr>
                <w:rFonts w:ascii="宋体" w:hAnsi="宋体" w:cs="宋体"/>
                <w:color w:val="000000"/>
                <w:szCs w:val="21"/>
              </w:rPr>
            </w:pPr>
            <w:r>
              <w:rPr>
                <w:rFonts w:hint="eastAsia" w:ascii="宋体" w:hAnsi="宋体" w:cs="宋体"/>
                <w:color w:val="000000"/>
                <w:szCs w:val="21"/>
                <w:lang w:bidi="ar"/>
              </w:rPr>
              <w:t>供应商被“信用中国”网站（www.creditchina.gov.cn）列入失信被执行人、重大税收违法失信主体、</w:t>
            </w:r>
            <w:r>
              <w:rPr>
                <w:rFonts w:hint="eastAsia" w:ascii="宋体" w:hAnsi="宋体" w:cs="宋体"/>
                <w:color w:val="000000"/>
                <w:szCs w:val="21"/>
                <w:lang w:eastAsia="zh-CN" w:bidi="ar"/>
              </w:rPr>
              <w:t>政府采购严重违法失信行为记录名单</w:t>
            </w:r>
            <w:r>
              <w:rPr>
                <w:rFonts w:hint="eastAsia" w:ascii="宋体" w:hAnsi="宋体" w:cs="宋体"/>
                <w:color w:val="000000"/>
                <w:szCs w:val="21"/>
                <w:lang w:bidi="ar"/>
              </w:rPr>
              <w:t>。</w:t>
            </w:r>
          </w:p>
        </w:tc>
      </w:tr>
      <w:tr w14:paraId="1060BE46">
        <w:tblPrEx>
          <w:tblCellMar>
            <w:top w:w="0" w:type="dxa"/>
            <w:left w:w="108" w:type="dxa"/>
            <w:bottom w:w="0" w:type="dxa"/>
            <w:right w:w="108" w:type="dxa"/>
          </w:tblCellMar>
        </w:tblPrEx>
        <w:trPr>
          <w:trHeight w:val="335" w:hRule="atLeast"/>
          <w:tblHeader/>
        </w:trPr>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082A30">
            <w:pPr>
              <w:widowControl/>
              <w:jc w:val="center"/>
              <w:textAlignment w:val="center"/>
              <w:rPr>
                <w:rFonts w:ascii="宋体" w:hAnsi="宋体" w:cs="宋体"/>
                <w:color w:val="000000"/>
                <w:szCs w:val="21"/>
              </w:rPr>
            </w:pPr>
            <w:r>
              <w:rPr>
                <w:rFonts w:hint="eastAsia" w:ascii="宋体" w:hAnsi="宋体" w:cs="宋体"/>
                <w:color w:val="000000"/>
                <w:szCs w:val="21"/>
                <w:lang w:bidi="ar"/>
              </w:rPr>
              <w:t>符合性评审</w:t>
            </w: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E473E71">
            <w:pPr>
              <w:widowControl/>
              <w:jc w:val="center"/>
              <w:textAlignment w:val="bottom"/>
              <w:rPr>
                <w:rFonts w:ascii="宋体" w:hAnsi="宋体" w:cs="宋体"/>
                <w:color w:val="000000"/>
                <w:szCs w:val="21"/>
              </w:rPr>
            </w:pPr>
            <w:r>
              <w:rPr>
                <w:rFonts w:hint="eastAsia" w:ascii="宋体" w:hAnsi="宋体" w:cs="宋体"/>
                <w:color w:val="000000"/>
                <w:szCs w:val="21"/>
                <w:lang w:bidi="ar"/>
              </w:rPr>
              <w:t>供应商名称</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E334811">
            <w:pPr>
              <w:widowControl/>
              <w:textAlignment w:val="bottom"/>
              <w:rPr>
                <w:rFonts w:ascii="宋体" w:hAnsi="宋体" w:cs="宋体"/>
                <w:color w:val="000000"/>
                <w:szCs w:val="21"/>
              </w:rPr>
            </w:pPr>
            <w:r>
              <w:rPr>
                <w:rFonts w:hint="eastAsia" w:ascii="宋体" w:hAnsi="宋体" w:cs="宋体"/>
                <w:color w:val="000000"/>
                <w:szCs w:val="21"/>
                <w:lang w:bidi="ar"/>
              </w:rPr>
              <w:t>【与营业执照、资质证书一致】</w:t>
            </w:r>
          </w:p>
        </w:tc>
      </w:tr>
      <w:tr w14:paraId="2AB5F5E0">
        <w:tblPrEx>
          <w:tblCellMar>
            <w:top w:w="0" w:type="dxa"/>
            <w:left w:w="108" w:type="dxa"/>
            <w:bottom w:w="0" w:type="dxa"/>
            <w:right w:w="108" w:type="dxa"/>
          </w:tblCellMar>
        </w:tblPrEx>
        <w:trPr>
          <w:trHeight w:val="35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02DE9">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C9E4378">
            <w:pPr>
              <w:widowControl/>
              <w:jc w:val="center"/>
              <w:textAlignment w:val="bottom"/>
              <w:rPr>
                <w:rFonts w:ascii="宋体" w:hAnsi="宋体" w:cs="宋体"/>
                <w:color w:val="000000"/>
                <w:szCs w:val="21"/>
              </w:rPr>
            </w:pPr>
            <w:r>
              <w:rPr>
                <w:rFonts w:hint="eastAsia" w:ascii="宋体" w:hAnsi="宋体" w:cs="宋体"/>
                <w:color w:val="000000"/>
                <w:szCs w:val="21"/>
                <w:lang w:bidi="ar"/>
              </w:rPr>
              <w:t>响应文件签字盖章</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E8F4E27">
            <w:pPr>
              <w:widowControl/>
              <w:textAlignment w:val="bottom"/>
              <w:rPr>
                <w:rFonts w:ascii="宋体" w:hAnsi="宋体" w:cs="宋体"/>
                <w:color w:val="000000"/>
                <w:szCs w:val="21"/>
              </w:rPr>
            </w:pPr>
            <w:r>
              <w:rPr>
                <w:rFonts w:hint="eastAsia" w:ascii="宋体" w:hAnsi="宋体" w:cs="宋体"/>
                <w:color w:val="000000"/>
                <w:szCs w:val="21"/>
                <w:lang w:bidi="ar"/>
              </w:rPr>
              <w:t>【有法定代表人或其委托代理人签字或加盖单位公章】</w:t>
            </w:r>
          </w:p>
        </w:tc>
      </w:tr>
      <w:tr w14:paraId="295E0F09">
        <w:tblPrEx>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665B3">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79836E8">
            <w:pPr>
              <w:widowControl/>
              <w:jc w:val="center"/>
              <w:textAlignment w:val="bottom"/>
              <w:rPr>
                <w:rFonts w:ascii="宋体" w:hAnsi="宋体" w:cs="宋体"/>
                <w:color w:val="000000"/>
                <w:szCs w:val="21"/>
              </w:rPr>
            </w:pPr>
            <w:r>
              <w:rPr>
                <w:rFonts w:hint="eastAsia" w:ascii="宋体" w:hAnsi="宋体" w:cs="宋体"/>
                <w:color w:val="000000"/>
                <w:szCs w:val="21"/>
                <w:lang w:bidi="ar"/>
              </w:rPr>
              <w:t>法定代表人授权书</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57F2291">
            <w:pPr>
              <w:widowControl/>
              <w:textAlignment w:val="bottom"/>
              <w:rPr>
                <w:rFonts w:ascii="宋体" w:hAnsi="宋体" w:cs="宋体"/>
                <w:color w:val="000000"/>
                <w:szCs w:val="21"/>
              </w:rPr>
            </w:pPr>
            <w:r>
              <w:rPr>
                <w:rFonts w:hint="eastAsia" w:ascii="宋体" w:hAnsi="宋体" w:cs="宋体"/>
                <w:color w:val="000000"/>
                <w:szCs w:val="21"/>
                <w:lang w:bidi="ar"/>
              </w:rPr>
              <w:t>【被授权人身份证复印件与法定代表人授权委托书一致】</w:t>
            </w:r>
          </w:p>
        </w:tc>
      </w:tr>
      <w:tr w14:paraId="637492CF">
        <w:tblPrEx>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39793">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58AAAEF">
            <w:pPr>
              <w:widowControl/>
              <w:jc w:val="center"/>
              <w:textAlignment w:val="bottom"/>
              <w:rPr>
                <w:rFonts w:ascii="宋体" w:hAnsi="宋体" w:cs="宋体"/>
                <w:color w:val="000000"/>
                <w:szCs w:val="21"/>
              </w:rPr>
            </w:pPr>
            <w:r>
              <w:rPr>
                <w:rFonts w:hint="eastAsia" w:ascii="宋体" w:hAnsi="宋体" w:cs="宋体"/>
                <w:color w:val="000000"/>
                <w:szCs w:val="21"/>
                <w:lang w:bidi="ar"/>
              </w:rPr>
              <w:t>响应文件格式</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3CC6612">
            <w:pPr>
              <w:widowControl/>
              <w:textAlignment w:val="bottom"/>
              <w:rPr>
                <w:rFonts w:ascii="宋体" w:hAnsi="宋体" w:cs="宋体"/>
                <w:color w:val="000000"/>
                <w:szCs w:val="21"/>
              </w:rPr>
            </w:pPr>
            <w:r>
              <w:rPr>
                <w:rFonts w:hint="eastAsia" w:ascii="宋体" w:hAnsi="宋体" w:cs="宋体"/>
                <w:color w:val="000000"/>
                <w:szCs w:val="21"/>
                <w:lang w:bidi="ar"/>
              </w:rPr>
              <w:t>【按照比选文件规定的格式、内容填写，字迹清晰可辨】</w:t>
            </w:r>
          </w:p>
        </w:tc>
      </w:tr>
      <w:tr w14:paraId="33CE669F">
        <w:tblPrEx>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0F9FA">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29914">
            <w:pPr>
              <w:widowControl/>
              <w:jc w:val="center"/>
              <w:textAlignment w:val="center"/>
              <w:rPr>
                <w:rFonts w:ascii="宋体" w:hAnsi="宋体" w:cs="宋体"/>
                <w:color w:val="000000"/>
                <w:szCs w:val="21"/>
              </w:rPr>
            </w:pPr>
            <w:r>
              <w:rPr>
                <w:rFonts w:hint="eastAsia" w:ascii="宋体" w:hAnsi="宋体" w:cs="宋体"/>
                <w:color w:val="000000"/>
                <w:szCs w:val="21"/>
                <w:lang w:bidi="ar"/>
              </w:rPr>
              <w:t>响应有效期</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76304">
            <w:pPr>
              <w:widowControl/>
              <w:textAlignment w:val="center"/>
              <w:rPr>
                <w:rFonts w:ascii="宋体" w:hAnsi="宋体" w:cs="宋体"/>
                <w:color w:val="000000"/>
                <w:szCs w:val="21"/>
              </w:rPr>
            </w:pPr>
            <w:r>
              <w:rPr>
                <w:rFonts w:hint="eastAsia" w:ascii="宋体" w:hAnsi="宋体" w:cs="宋体"/>
                <w:color w:val="000000"/>
                <w:szCs w:val="21"/>
                <w:lang w:bidi="ar"/>
              </w:rPr>
              <w:t>90日历天。</w:t>
            </w:r>
          </w:p>
        </w:tc>
      </w:tr>
      <w:tr w14:paraId="2AB409D9">
        <w:tblPrEx>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3B742">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A1C1F">
            <w:pPr>
              <w:widowControl/>
              <w:jc w:val="center"/>
              <w:textAlignment w:val="center"/>
              <w:rPr>
                <w:rFonts w:ascii="宋体" w:hAnsi="宋体" w:cs="宋体"/>
                <w:color w:val="000000"/>
                <w:szCs w:val="21"/>
              </w:rPr>
            </w:pPr>
            <w:r>
              <w:rPr>
                <w:rFonts w:hint="eastAsia" w:ascii="宋体" w:hAnsi="宋体" w:cs="宋体"/>
                <w:color w:val="000000"/>
                <w:szCs w:val="21"/>
                <w:lang w:bidi="ar"/>
              </w:rPr>
              <w:t>响应报价</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58D22">
            <w:pPr>
              <w:widowControl/>
              <w:textAlignment w:val="center"/>
              <w:rPr>
                <w:rFonts w:ascii="宋体" w:hAnsi="宋体" w:cs="宋体"/>
                <w:color w:val="000000"/>
                <w:szCs w:val="21"/>
              </w:rPr>
            </w:pPr>
            <w:r>
              <w:rPr>
                <w:rFonts w:hint="eastAsia" w:ascii="宋体" w:hAnsi="宋体" w:cs="宋体"/>
                <w:color w:val="000000"/>
                <w:szCs w:val="21"/>
                <w:lang w:bidi="ar"/>
              </w:rPr>
              <w:t>唯一报价且满足响应一览表要求。</w:t>
            </w:r>
          </w:p>
        </w:tc>
      </w:tr>
      <w:tr w14:paraId="0BD5E981">
        <w:tblPrEx>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AA206">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69200">
            <w:pPr>
              <w:widowControl/>
              <w:jc w:val="center"/>
              <w:textAlignment w:val="center"/>
              <w:rPr>
                <w:rFonts w:ascii="宋体" w:hAnsi="宋体" w:cs="宋体"/>
                <w:color w:val="000000"/>
                <w:szCs w:val="21"/>
              </w:rPr>
            </w:pPr>
            <w:r>
              <w:rPr>
                <w:rFonts w:hint="eastAsia" w:ascii="宋体" w:hAnsi="宋体" w:cs="宋体"/>
                <w:color w:val="000000"/>
                <w:szCs w:val="21"/>
                <w:lang w:bidi="ar"/>
              </w:rPr>
              <w:t>商务偏离</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BF154">
            <w:pPr>
              <w:widowControl/>
              <w:textAlignment w:val="center"/>
              <w:rPr>
                <w:rFonts w:ascii="宋体" w:hAnsi="宋体" w:cs="宋体"/>
                <w:color w:val="000000"/>
                <w:szCs w:val="21"/>
              </w:rPr>
            </w:pPr>
            <w:r>
              <w:rPr>
                <w:rFonts w:hint="eastAsia" w:ascii="宋体" w:hAnsi="宋体" w:cs="宋体"/>
                <w:color w:val="000000"/>
                <w:szCs w:val="21"/>
                <w:lang w:bidi="ar"/>
              </w:rPr>
              <w:t>满足商务条款偏离表要求。</w:t>
            </w:r>
          </w:p>
        </w:tc>
      </w:tr>
      <w:tr w14:paraId="6758D234">
        <w:tblPrEx>
          <w:tblCellMar>
            <w:top w:w="0" w:type="dxa"/>
            <w:left w:w="108" w:type="dxa"/>
            <w:bottom w:w="0" w:type="dxa"/>
            <w:right w:w="108" w:type="dxa"/>
          </w:tblCellMar>
        </w:tblPrEx>
        <w:trPr>
          <w:trHeight w:val="288" w:hRule="atLeast"/>
          <w:tblHeader/>
        </w:trPr>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BA001">
            <w:pPr>
              <w:jc w:val="center"/>
              <w:rPr>
                <w:rFonts w:ascii="宋体" w:hAnsi="宋体" w:cs="宋体"/>
                <w:color w:val="000000"/>
                <w:szCs w:val="21"/>
              </w:rPr>
            </w:pPr>
          </w:p>
        </w:tc>
        <w:tc>
          <w:tcPr>
            <w:tcW w:w="13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60B4C">
            <w:pPr>
              <w:widowControl/>
              <w:jc w:val="center"/>
              <w:textAlignment w:val="center"/>
              <w:rPr>
                <w:rFonts w:ascii="宋体" w:hAnsi="宋体" w:cs="宋体"/>
                <w:color w:val="000000"/>
                <w:szCs w:val="21"/>
              </w:rPr>
            </w:pPr>
            <w:r>
              <w:rPr>
                <w:rFonts w:hint="eastAsia" w:ascii="宋体" w:hAnsi="宋体" w:cs="宋体"/>
                <w:color w:val="000000"/>
                <w:szCs w:val="21"/>
                <w:lang w:bidi="ar"/>
              </w:rPr>
              <w:t>技术偏离</w:t>
            </w:r>
          </w:p>
        </w:tc>
        <w:tc>
          <w:tcPr>
            <w:tcW w:w="29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C40A4">
            <w:pPr>
              <w:widowControl/>
              <w:textAlignment w:val="center"/>
              <w:rPr>
                <w:rFonts w:ascii="宋体" w:hAnsi="宋体" w:cs="宋体"/>
                <w:color w:val="000000"/>
                <w:szCs w:val="21"/>
              </w:rPr>
            </w:pPr>
            <w:r>
              <w:rPr>
                <w:rFonts w:hint="eastAsia" w:ascii="宋体" w:hAnsi="宋体" w:cs="宋体"/>
                <w:color w:val="000000"/>
                <w:szCs w:val="21"/>
                <w:lang w:bidi="ar"/>
              </w:rPr>
              <w:t>满足技术条款偏离表要求。</w:t>
            </w:r>
          </w:p>
        </w:tc>
      </w:tr>
    </w:tbl>
    <w:p w14:paraId="55851431">
      <w:pPr>
        <w:spacing w:line="360" w:lineRule="auto"/>
        <w:rPr>
          <w:rFonts w:ascii="宋体" w:hAnsi="宋体"/>
          <w:b/>
          <w:bCs/>
        </w:rPr>
      </w:pPr>
    </w:p>
    <w:p w14:paraId="6D648CF1">
      <w:pPr>
        <w:spacing w:before="360" w:beforeLines="150" w:line="360" w:lineRule="auto"/>
        <w:rPr>
          <w:rFonts w:ascii="宋体" w:hAnsi="宋体"/>
          <w:szCs w:val="21"/>
        </w:rPr>
      </w:pPr>
      <w:r>
        <w:rPr>
          <w:rFonts w:ascii="宋体" w:hAnsi="宋体"/>
          <w:b/>
          <w:bCs/>
        </w:rPr>
        <w:t>2.2详细评审</w:t>
      </w:r>
    </w:p>
    <w:tbl>
      <w:tblPr>
        <w:tblStyle w:val="45"/>
        <w:tblW w:w="5084" w:type="pct"/>
        <w:jc w:val="center"/>
        <w:tblLayout w:type="autofit"/>
        <w:tblCellMar>
          <w:top w:w="0" w:type="dxa"/>
          <w:left w:w="108" w:type="dxa"/>
          <w:bottom w:w="0" w:type="dxa"/>
          <w:right w:w="108" w:type="dxa"/>
        </w:tblCellMar>
      </w:tblPr>
      <w:tblGrid>
        <w:gridCol w:w="454"/>
        <w:gridCol w:w="1090"/>
        <w:gridCol w:w="7749"/>
        <w:gridCol w:w="554"/>
      </w:tblGrid>
      <w:tr w14:paraId="7AC0E5EF">
        <w:tblPrEx>
          <w:tblCellMar>
            <w:top w:w="0" w:type="dxa"/>
            <w:left w:w="108" w:type="dxa"/>
            <w:bottom w:w="0" w:type="dxa"/>
            <w:right w:w="108" w:type="dxa"/>
          </w:tblCellMar>
        </w:tblPrEx>
        <w:trPr>
          <w:trHeight w:val="90" w:hRule="atLeast"/>
          <w:jc w:val="center"/>
        </w:trPr>
        <w:tc>
          <w:tcPr>
            <w:tcW w:w="231" w:type="pct"/>
            <w:tcBorders>
              <w:top w:val="single" w:color="auto" w:sz="4" w:space="0"/>
              <w:left w:val="single" w:color="auto" w:sz="4" w:space="0"/>
              <w:bottom w:val="single" w:color="auto" w:sz="4" w:space="0"/>
              <w:right w:val="single" w:color="auto" w:sz="4" w:space="0"/>
            </w:tcBorders>
            <w:vAlign w:val="center"/>
          </w:tcPr>
          <w:p w14:paraId="457FDE08">
            <w:pPr>
              <w:widowControl/>
              <w:jc w:val="center"/>
              <w:rPr>
                <w:rFonts w:ascii="宋体" w:hAnsi="宋体" w:cs="宋体"/>
                <w:b/>
                <w:bCs/>
              </w:rPr>
            </w:pPr>
            <w:bookmarkStart w:id="6" w:name="_Hlk202345348"/>
            <w:r>
              <w:rPr>
                <w:rFonts w:hint="eastAsia" w:ascii="宋体" w:hAnsi="宋体" w:cs="宋体"/>
                <w:b/>
                <w:bCs/>
              </w:rPr>
              <w:t>序号</w:t>
            </w:r>
          </w:p>
        </w:tc>
        <w:tc>
          <w:tcPr>
            <w:tcW w:w="553" w:type="pct"/>
            <w:tcBorders>
              <w:top w:val="single" w:color="auto" w:sz="4" w:space="0"/>
              <w:left w:val="nil"/>
              <w:bottom w:val="single" w:color="auto" w:sz="4" w:space="0"/>
              <w:right w:val="single" w:color="auto" w:sz="4" w:space="0"/>
            </w:tcBorders>
            <w:vAlign w:val="center"/>
          </w:tcPr>
          <w:p w14:paraId="5575A2B6">
            <w:pPr>
              <w:widowControl/>
              <w:jc w:val="center"/>
              <w:rPr>
                <w:rFonts w:ascii="宋体" w:hAnsi="宋体" w:cs="宋体"/>
                <w:b/>
                <w:bCs/>
              </w:rPr>
            </w:pPr>
            <w:r>
              <w:rPr>
                <w:rFonts w:hint="eastAsia" w:ascii="宋体" w:hAnsi="宋体" w:cs="宋体"/>
                <w:b/>
                <w:bCs/>
              </w:rPr>
              <w:t>评分因素</w:t>
            </w:r>
          </w:p>
        </w:tc>
        <w:tc>
          <w:tcPr>
            <w:tcW w:w="3933" w:type="pct"/>
            <w:tcBorders>
              <w:top w:val="single" w:color="auto" w:sz="4" w:space="0"/>
              <w:left w:val="nil"/>
              <w:bottom w:val="single" w:color="auto" w:sz="4" w:space="0"/>
              <w:right w:val="single" w:color="auto" w:sz="4" w:space="0"/>
            </w:tcBorders>
            <w:vAlign w:val="center"/>
          </w:tcPr>
          <w:p w14:paraId="1CEFF6BD">
            <w:pPr>
              <w:widowControl/>
              <w:jc w:val="center"/>
              <w:rPr>
                <w:rFonts w:ascii="宋体" w:hAnsi="宋体" w:cs="宋体"/>
                <w:b/>
                <w:bCs/>
              </w:rPr>
            </w:pPr>
            <w:r>
              <w:rPr>
                <w:rFonts w:hint="eastAsia" w:ascii="宋体" w:hAnsi="宋体" w:cs="宋体"/>
                <w:b/>
                <w:bCs/>
              </w:rPr>
              <w:t>评分标准</w:t>
            </w:r>
          </w:p>
        </w:tc>
        <w:tc>
          <w:tcPr>
            <w:tcW w:w="281" w:type="pct"/>
            <w:tcBorders>
              <w:top w:val="single" w:color="auto" w:sz="4" w:space="0"/>
              <w:left w:val="nil"/>
              <w:bottom w:val="single" w:color="auto" w:sz="4" w:space="0"/>
              <w:right w:val="single" w:color="auto" w:sz="4" w:space="0"/>
            </w:tcBorders>
            <w:vAlign w:val="center"/>
          </w:tcPr>
          <w:p w14:paraId="3CD9633D">
            <w:pPr>
              <w:widowControl/>
              <w:jc w:val="center"/>
              <w:rPr>
                <w:rFonts w:ascii="宋体" w:hAnsi="宋体" w:cs="宋体"/>
                <w:b/>
                <w:bCs/>
              </w:rPr>
            </w:pPr>
            <w:r>
              <w:rPr>
                <w:rFonts w:hint="eastAsia" w:ascii="宋体" w:hAnsi="宋体" w:cs="宋体"/>
                <w:b/>
                <w:bCs/>
              </w:rPr>
              <w:t>分值</w:t>
            </w:r>
          </w:p>
        </w:tc>
      </w:tr>
      <w:tr w14:paraId="1C10ED92">
        <w:tblPrEx>
          <w:tblCellMar>
            <w:top w:w="0" w:type="dxa"/>
            <w:left w:w="108" w:type="dxa"/>
            <w:bottom w:w="0" w:type="dxa"/>
            <w:right w:w="108" w:type="dxa"/>
          </w:tblCellMar>
        </w:tblPrEx>
        <w:trPr>
          <w:trHeight w:val="280" w:hRule="atLeast"/>
          <w:tblHeader/>
          <w:jc w:val="center"/>
        </w:trPr>
        <w:tc>
          <w:tcPr>
            <w:tcW w:w="231" w:type="pct"/>
            <w:vMerge w:val="restart"/>
            <w:tcBorders>
              <w:top w:val="single" w:color="auto" w:sz="4" w:space="0"/>
              <w:left w:val="single" w:color="auto" w:sz="4" w:space="0"/>
              <w:right w:val="single" w:color="auto" w:sz="4" w:space="0"/>
            </w:tcBorders>
            <w:vAlign w:val="center"/>
          </w:tcPr>
          <w:p w14:paraId="55420CAA">
            <w:pPr>
              <w:widowControl/>
              <w:jc w:val="center"/>
              <w:rPr>
                <w:rFonts w:ascii="宋体" w:hAnsi="宋体" w:cs="宋体"/>
                <w:b/>
                <w:bCs/>
              </w:rPr>
            </w:pPr>
            <w:r>
              <w:rPr>
                <w:rFonts w:hint="eastAsia" w:ascii="宋体" w:hAnsi="宋体" w:cs="宋体"/>
                <w:b/>
                <w:bCs/>
              </w:rPr>
              <w:t>1</w:t>
            </w:r>
          </w:p>
        </w:tc>
        <w:tc>
          <w:tcPr>
            <w:tcW w:w="553" w:type="pct"/>
            <w:vMerge w:val="restart"/>
            <w:tcBorders>
              <w:top w:val="single" w:color="auto" w:sz="4" w:space="0"/>
              <w:left w:val="nil"/>
              <w:right w:val="single" w:color="auto" w:sz="4" w:space="0"/>
            </w:tcBorders>
            <w:shd w:val="clear" w:color="auto" w:fill="auto"/>
            <w:vAlign w:val="center"/>
          </w:tcPr>
          <w:p w14:paraId="61ECC5EC">
            <w:pPr>
              <w:widowControl/>
              <w:jc w:val="center"/>
              <w:rPr>
                <w:rFonts w:ascii="宋体" w:hAnsi="宋体"/>
              </w:rPr>
            </w:pPr>
            <w:r>
              <w:rPr>
                <w:rFonts w:hint="eastAsia" w:ascii="宋体" w:hAnsi="宋体"/>
              </w:rPr>
              <w:t>响应报价</w:t>
            </w:r>
          </w:p>
          <w:p w14:paraId="5371EBB7">
            <w:pPr>
              <w:widowControl/>
              <w:jc w:val="center"/>
              <w:rPr>
                <w:rFonts w:ascii="宋体" w:hAnsi="宋体"/>
                <w:szCs w:val="21"/>
              </w:rPr>
            </w:pPr>
          </w:p>
        </w:tc>
        <w:tc>
          <w:tcPr>
            <w:tcW w:w="3933" w:type="pct"/>
            <w:tcBorders>
              <w:top w:val="single" w:color="auto" w:sz="4" w:space="0"/>
              <w:left w:val="nil"/>
              <w:bottom w:val="single" w:color="auto" w:sz="4" w:space="0"/>
              <w:right w:val="single" w:color="auto" w:sz="4" w:space="0"/>
            </w:tcBorders>
            <w:shd w:val="clear" w:color="auto" w:fill="auto"/>
            <w:vAlign w:val="center"/>
          </w:tcPr>
          <w:p w14:paraId="546CA46B">
            <w:pPr>
              <w:adjustRightInd w:val="0"/>
              <w:snapToGrid w:val="0"/>
              <w:spacing w:line="300" w:lineRule="auto"/>
              <w:jc w:val="left"/>
              <w:rPr>
                <w:rFonts w:ascii="宋体" w:hAnsi="宋体"/>
                <w:szCs w:val="21"/>
              </w:rPr>
            </w:pPr>
            <w:r>
              <w:rPr>
                <w:rFonts w:hint="eastAsia" w:ascii="宋体" w:hAnsi="宋体"/>
              </w:rPr>
              <w:t>价格分采用低价优先法计算，即满足采购文件要求且报价最低的供应商报价为评审基准价，其价格分为满分30分，其他供应商的价格分统一按照以下公式计算：报价得分=（最低报价/该单位的响应报价）*30。</w:t>
            </w:r>
          </w:p>
        </w:tc>
        <w:tc>
          <w:tcPr>
            <w:tcW w:w="281" w:type="pct"/>
            <w:vMerge w:val="restart"/>
            <w:tcBorders>
              <w:top w:val="single" w:color="auto" w:sz="4" w:space="0"/>
              <w:left w:val="nil"/>
              <w:right w:val="single" w:color="auto" w:sz="4" w:space="0"/>
            </w:tcBorders>
            <w:vAlign w:val="center"/>
          </w:tcPr>
          <w:p w14:paraId="66EC8E03">
            <w:pPr>
              <w:widowControl/>
              <w:jc w:val="center"/>
              <w:rPr>
                <w:rFonts w:ascii="宋体" w:hAnsi="宋体" w:cs="宋体"/>
                <w:b/>
                <w:bCs/>
              </w:rPr>
            </w:pPr>
            <w:r>
              <w:rPr>
                <w:rFonts w:hint="eastAsia" w:ascii="宋体" w:hAnsi="宋体" w:cs="宋体"/>
              </w:rPr>
              <w:t>30</w:t>
            </w:r>
          </w:p>
        </w:tc>
      </w:tr>
      <w:tr w14:paraId="7AED27A2">
        <w:tblPrEx>
          <w:tblCellMar>
            <w:top w:w="0" w:type="dxa"/>
            <w:left w:w="108" w:type="dxa"/>
            <w:bottom w:w="0" w:type="dxa"/>
            <w:right w:w="108" w:type="dxa"/>
          </w:tblCellMar>
        </w:tblPrEx>
        <w:trPr>
          <w:trHeight w:val="280" w:hRule="atLeast"/>
          <w:tblHeader/>
          <w:jc w:val="center"/>
        </w:trPr>
        <w:tc>
          <w:tcPr>
            <w:tcW w:w="231" w:type="pct"/>
            <w:vMerge w:val="continue"/>
            <w:tcBorders>
              <w:left w:val="single" w:color="auto" w:sz="4" w:space="0"/>
              <w:bottom w:val="single" w:color="auto" w:sz="4" w:space="0"/>
              <w:right w:val="single" w:color="auto" w:sz="4" w:space="0"/>
            </w:tcBorders>
            <w:vAlign w:val="center"/>
          </w:tcPr>
          <w:p w14:paraId="5076C3C5">
            <w:pPr>
              <w:widowControl/>
              <w:jc w:val="center"/>
              <w:rPr>
                <w:rFonts w:ascii="宋体" w:hAnsi="宋体" w:cs="宋体"/>
                <w:b/>
                <w:bCs/>
              </w:rPr>
            </w:pPr>
          </w:p>
        </w:tc>
        <w:tc>
          <w:tcPr>
            <w:tcW w:w="553" w:type="pct"/>
            <w:vMerge w:val="continue"/>
            <w:tcBorders>
              <w:left w:val="nil"/>
              <w:bottom w:val="single" w:color="auto" w:sz="4" w:space="0"/>
              <w:right w:val="single" w:color="auto" w:sz="4" w:space="0"/>
            </w:tcBorders>
            <w:shd w:val="clear" w:color="auto" w:fill="auto"/>
            <w:vAlign w:val="center"/>
          </w:tcPr>
          <w:p w14:paraId="77412C36">
            <w:pPr>
              <w:widowControl/>
              <w:adjustRightInd w:val="0"/>
              <w:snapToGrid w:val="0"/>
              <w:spacing w:line="300" w:lineRule="auto"/>
              <w:jc w:val="center"/>
              <w:rPr>
                <w:rFonts w:ascii="宋体" w:hAnsi="宋体" w:cs="仿宋"/>
                <w:b/>
                <w:bCs/>
                <w:szCs w:val="21"/>
              </w:rPr>
            </w:pPr>
          </w:p>
        </w:tc>
        <w:tc>
          <w:tcPr>
            <w:tcW w:w="3933" w:type="pct"/>
            <w:tcBorders>
              <w:top w:val="single" w:color="auto" w:sz="4" w:space="0"/>
              <w:left w:val="nil"/>
              <w:bottom w:val="single" w:color="auto" w:sz="4" w:space="0"/>
              <w:right w:val="single" w:color="auto" w:sz="4" w:space="0"/>
            </w:tcBorders>
            <w:shd w:val="clear" w:color="auto" w:fill="auto"/>
            <w:vAlign w:val="center"/>
          </w:tcPr>
          <w:p w14:paraId="3C9730F8">
            <w:pPr>
              <w:widowControl/>
              <w:adjustRightInd w:val="0"/>
              <w:snapToGrid w:val="0"/>
              <w:spacing w:line="360" w:lineRule="auto"/>
              <w:rPr>
                <w:rFonts w:hint="eastAsia" w:ascii="宋体" w:hAnsi="宋体"/>
                <w:b/>
                <w:bCs/>
              </w:rPr>
            </w:pPr>
            <w:r>
              <w:rPr>
                <w:rFonts w:hint="eastAsia" w:ascii="宋体" w:hAnsi="宋体"/>
                <w:b/>
                <w:bCs/>
              </w:rPr>
              <w:t>评审委员会启动异常低价响应审查的情形和具体要求，包括：</w:t>
            </w:r>
          </w:p>
          <w:p w14:paraId="72437EDC">
            <w:pPr>
              <w:widowControl/>
              <w:adjustRightInd w:val="0"/>
              <w:snapToGrid w:val="0"/>
              <w:spacing w:line="360" w:lineRule="auto"/>
              <w:rPr>
                <w:rFonts w:hint="eastAsia" w:ascii="宋体" w:hAnsi="宋体"/>
              </w:rPr>
            </w:pPr>
            <w:r>
              <w:rPr>
                <w:rFonts w:hint="eastAsia" w:ascii="宋体" w:hAnsi="宋体"/>
              </w:rPr>
              <w:t>（1）评审过程中出现下列情形之一的，评审委员会应当启动异常低价响应审查程序：</w:t>
            </w:r>
          </w:p>
          <w:p w14:paraId="57FCBE95">
            <w:pPr>
              <w:widowControl/>
              <w:adjustRightInd w:val="0"/>
              <w:snapToGrid w:val="0"/>
              <w:spacing w:line="360" w:lineRule="auto"/>
              <w:rPr>
                <w:rFonts w:hint="eastAsia" w:ascii="宋体" w:hAnsi="宋体"/>
              </w:rPr>
            </w:pPr>
            <w:r>
              <w:rPr>
                <w:rFonts w:hint="eastAsia" w:ascii="宋体" w:hAnsi="宋体"/>
              </w:rPr>
              <w:t>①响应报价低于全部通过符合性审查供应商响应报价平均值50%的，即响应报价&lt;全部通过符合性审查供应商响应报价平均值×50%；</w:t>
            </w:r>
          </w:p>
          <w:p w14:paraId="5A96B444">
            <w:pPr>
              <w:widowControl/>
              <w:adjustRightInd w:val="0"/>
              <w:snapToGrid w:val="0"/>
              <w:spacing w:line="360" w:lineRule="auto"/>
              <w:rPr>
                <w:rFonts w:hint="eastAsia" w:ascii="宋体" w:hAnsi="宋体"/>
              </w:rPr>
            </w:pPr>
            <w:r>
              <w:rPr>
                <w:rFonts w:hint="eastAsia" w:ascii="宋体" w:hAnsi="宋体"/>
              </w:rPr>
              <w:t>②响应报价低于通过符合性审查的次低报价供应商响应报价50%的，即响应报价&lt;通过符合性审查的次低报价供应商响应报价×50%;</w:t>
            </w:r>
          </w:p>
          <w:p w14:paraId="1B2AC14B">
            <w:pPr>
              <w:widowControl/>
              <w:adjustRightInd w:val="0"/>
              <w:snapToGrid w:val="0"/>
              <w:spacing w:line="360" w:lineRule="auto"/>
              <w:rPr>
                <w:rFonts w:hint="eastAsia" w:ascii="宋体" w:hAnsi="宋体"/>
              </w:rPr>
            </w:pPr>
            <w:r>
              <w:rPr>
                <w:rFonts w:hint="eastAsia" w:ascii="宋体" w:hAnsi="宋体"/>
              </w:rPr>
              <w:t>③响应报价低于采购项目最高限价45%的，即响应报价&lt;采购项目最高限价×</w:t>
            </w:r>
            <w:r>
              <w:rPr>
                <w:rFonts w:hint="eastAsia" w:ascii="宋体" w:hAnsi="宋体"/>
                <w:lang w:val="en-US" w:eastAsia="zh-CN"/>
              </w:rPr>
              <w:t>4</w:t>
            </w:r>
            <w:r>
              <w:rPr>
                <w:rFonts w:hint="eastAsia" w:ascii="宋体" w:hAnsi="宋体"/>
              </w:rPr>
              <w:t>5%；</w:t>
            </w:r>
          </w:p>
          <w:p w14:paraId="0D122A93">
            <w:pPr>
              <w:widowControl/>
              <w:adjustRightInd w:val="0"/>
              <w:snapToGrid w:val="0"/>
              <w:spacing w:line="360" w:lineRule="auto"/>
              <w:rPr>
                <w:rFonts w:hint="eastAsia" w:ascii="宋体" w:hAnsi="宋体"/>
              </w:rPr>
            </w:pPr>
            <w:r>
              <w:rPr>
                <w:rFonts w:hint="eastAsia" w:ascii="宋体" w:hAnsi="宋体"/>
              </w:rPr>
              <w:t>④评审委员会基于专业判断，认为供应商报价过低，有可能影响产品质量或者不能诚信履约的其他情形。</w:t>
            </w:r>
          </w:p>
          <w:p w14:paraId="0081BB45">
            <w:pPr>
              <w:widowControl/>
              <w:adjustRightInd w:val="0"/>
              <w:snapToGrid w:val="0"/>
              <w:spacing w:line="360" w:lineRule="auto"/>
              <w:rPr>
                <w:rFonts w:hint="eastAsia" w:ascii="宋体" w:hAnsi="宋体"/>
              </w:rPr>
            </w:pPr>
            <w:r>
              <w:rPr>
                <w:rFonts w:hint="eastAsia" w:ascii="宋体" w:hAnsi="宋体"/>
              </w:rPr>
              <w:t>（2）评审委员会启动异常低价响应审查后，属于前述第①项至第④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响应文件一并提交相关书面说明及必要的证明材料的，在评审现场可不再重复提交。</w:t>
            </w:r>
          </w:p>
          <w:p w14:paraId="3B73D952">
            <w:pPr>
              <w:widowControl/>
              <w:adjustRightInd w:val="0"/>
              <w:snapToGrid w:val="0"/>
              <w:spacing w:line="360" w:lineRule="auto"/>
              <w:rPr>
                <w:rFonts w:hint="eastAsia" w:ascii="宋体" w:hAnsi="宋体"/>
              </w:rPr>
            </w:pPr>
            <w:r>
              <w:rPr>
                <w:rFonts w:hint="eastAsia" w:ascii="宋体" w:hAnsi="宋体"/>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tc>
        <w:tc>
          <w:tcPr>
            <w:tcW w:w="281" w:type="pct"/>
            <w:vMerge w:val="continue"/>
            <w:tcBorders>
              <w:left w:val="nil"/>
              <w:bottom w:val="single" w:color="auto" w:sz="4" w:space="0"/>
              <w:right w:val="single" w:color="auto" w:sz="4" w:space="0"/>
            </w:tcBorders>
            <w:vAlign w:val="center"/>
          </w:tcPr>
          <w:p w14:paraId="4E8C6435">
            <w:pPr>
              <w:widowControl/>
              <w:jc w:val="center"/>
              <w:rPr>
                <w:rFonts w:ascii="宋体" w:hAnsi="宋体" w:cs="宋体"/>
                <w:b/>
                <w:bCs/>
              </w:rPr>
            </w:pPr>
          </w:p>
        </w:tc>
      </w:tr>
      <w:tr w14:paraId="147027FE">
        <w:tblPrEx>
          <w:tblCellMar>
            <w:top w:w="0" w:type="dxa"/>
            <w:left w:w="108" w:type="dxa"/>
            <w:bottom w:w="0" w:type="dxa"/>
            <w:right w:w="108" w:type="dxa"/>
          </w:tblCellMar>
        </w:tblPrEx>
        <w:trPr>
          <w:trHeight w:val="810" w:hRule="atLeast"/>
          <w:jc w:val="center"/>
        </w:trPr>
        <w:tc>
          <w:tcPr>
            <w:tcW w:w="231" w:type="pct"/>
            <w:tcBorders>
              <w:top w:val="single" w:color="auto" w:sz="4" w:space="0"/>
              <w:left w:val="single" w:color="auto" w:sz="4" w:space="0"/>
              <w:bottom w:val="single" w:color="auto" w:sz="4" w:space="0"/>
              <w:right w:val="single" w:color="auto" w:sz="4" w:space="0"/>
            </w:tcBorders>
            <w:vAlign w:val="center"/>
          </w:tcPr>
          <w:p w14:paraId="77165EA5">
            <w:pPr>
              <w:widowControl/>
              <w:jc w:val="center"/>
              <w:rPr>
                <w:rFonts w:ascii="宋体" w:hAnsi="宋体" w:cs="宋体"/>
              </w:rPr>
            </w:pPr>
            <w:r>
              <w:rPr>
                <w:rFonts w:hint="eastAsia" w:ascii="宋体" w:hAnsi="宋体" w:cs="宋体"/>
              </w:rPr>
              <w:t>2</w:t>
            </w:r>
          </w:p>
        </w:tc>
        <w:tc>
          <w:tcPr>
            <w:tcW w:w="553" w:type="pct"/>
            <w:tcBorders>
              <w:top w:val="nil"/>
              <w:left w:val="nil"/>
              <w:bottom w:val="single" w:color="auto" w:sz="4" w:space="0"/>
              <w:right w:val="single" w:color="auto" w:sz="4" w:space="0"/>
            </w:tcBorders>
            <w:vAlign w:val="center"/>
          </w:tcPr>
          <w:p w14:paraId="3039D641">
            <w:pPr>
              <w:widowControl/>
              <w:jc w:val="center"/>
              <w:rPr>
                <w:rFonts w:ascii="宋体" w:hAnsi="宋体"/>
              </w:rPr>
            </w:pPr>
            <w:r>
              <w:rPr>
                <w:rFonts w:hint="eastAsia" w:ascii="宋体" w:hAnsi="宋体"/>
              </w:rPr>
              <w:t>技术响应</w:t>
            </w:r>
          </w:p>
          <w:p w14:paraId="35DD4E43">
            <w:pPr>
              <w:widowControl/>
              <w:jc w:val="center"/>
              <w:rPr>
                <w:rFonts w:ascii="宋体" w:hAnsi="宋体"/>
              </w:rPr>
            </w:pPr>
          </w:p>
        </w:tc>
        <w:tc>
          <w:tcPr>
            <w:tcW w:w="3933" w:type="pct"/>
            <w:tcBorders>
              <w:top w:val="nil"/>
              <w:left w:val="nil"/>
              <w:bottom w:val="single" w:color="auto" w:sz="4" w:space="0"/>
              <w:right w:val="single" w:color="auto" w:sz="4" w:space="0"/>
            </w:tcBorders>
            <w:vAlign w:val="center"/>
          </w:tcPr>
          <w:p w14:paraId="0610213B">
            <w:pPr>
              <w:wordWrap w:val="0"/>
              <w:spacing w:line="360" w:lineRule="auto"/>
              <w:rPr>
                <w:rFonts w:ascii="宋体" w:hAnsi="宋体" w:cs="宋体"/>
                <w:szCs w:val="21"/>
              </w:rPr>
            </w:pPr>
            <w:r>
              <w:rPr>
                <w:rFonts w:hint="eastAsia" w:ascii="宋体" w:hAnsi="宋体" w:cs="宋体"/>
                <w:szCs w:val="21"/>
              </w:rPr>
              <w:t>根据对采购文件第四章“四、主要技术参数要求”响应情况进行评分，全部满足得2</w:t>
            </w:r>
            <w:r>
              <w:rPr>
                <w:rFonts w:hint="eastAsia" w:ascii="宋体" w:hAnsi="宋体" w:cs="宋体"/>
                <w:szCs w:val="21"/>
                <w:lang w:val="en-US" w:eastAsia="zh-CN"/>
              </w:rPr>
              <w:t>8</w:t>
            </w:r>
            <w:r>
              <w:rPr>
                <w:rFonts w:hint="eastAsia" w:ascii="宋体" w:hAnsi="宋体" w:cs="宋体"/>
                <w:szCs w:val="21"/>
              </w:rPr>
              <w:t>分。采购文件中标注“★”号为实质性指标，不满足为无效响应。</w:t>
            </w:r>
          </w:p>
          <w:p w14:paraId="33D79373">
            <w:pPr>
              <w:spacing w:line="300" w:lineRule="auto"/>
              <w:rPr>
                <w:rFonts w:ascii="宋体" w:hAnsi="宋体" w:cs="宋体"/>
                <w:szCs w:val="21"/>
              </w:rPr>
            </w:pPr>
            <w:r>
              <w:rPr>
                <w:rFonts w:hint="eastAsia" w:ascii="宋体" w:hAnsi="宋体" w:cs="宋体"/>
                <w:szCs w:val="21"/>
              </w:rPr>
              <w:t>标▲号技术指标（</w:t>
            </w:r>
            <w:r>
              <w:rPr>
                <w:rFonts w:hint="eastAsia" w:ascii="宋体" w:hAnsi="宋体" w:cs="宋体"/>
                <w:szCs w:val="21"/>
                <w:lang w:val="en-US" w:eastAsia="zh-CN"/>
              </w:rPr>
              <w:t>7</w:t>
            </w:r>
            <w:r>
              <w:rPr>
                <w:rFonts w:hint="eastAsia" w:ascii="宋体" w:hAnsi="宋体" w:cs="宋体"/>
                <w:szCs w:val="21"/>
              </w:rPr>
              <w:t>条）为重要技术条款，完全满足，得</w:t>
            </w:r>
            <w:r>
              <w:rPr>
                <w:rFonts w:hint="eastAsia" w:ascii="宋体" w:hAnsi="宋体" w:cs="宋体"/>
                <w:szCs w:val="21"/>
                <w:lang w:val="en-US" w:eastAsia="zh-CN"/>
              </w:rPr>
              <w:t>14</w:t>
            </w:r>
            <w:r>
              <w:rPr>
                <w:rFonts w:hint="eastAsia" w:ascii="宋体" w:hAnsi="宋体" w:cs="宋体"/>
                <w:szCs w:val="21"/>
              </w:rPr>
              <w:t>分，每负偏离一条扣</w:t>
            </w:r>
            <w:r>
              <w:rPr>
                <w:rFonts w:hint="eastAsia" w:ascii="宋体" w:hAnsi="宋体" w:cs="宋体"/>
                <w:szCs w:val="21"/>
                <w:lang w:val="en-US" w:eastAsia="zh-CN"/>
              </w:rPr>
              <w:t>2</w:t>
            </w:r>
            <w:r>
              <w:rPr>
                <w:rFonts w:hint="eastAsia" w:ascii="宋体" w:hAnsi="宋体" w:cs="宋体"/>
                <w:szCs w:val="21"/>
              </w:rPr>
              <w:t>分；</w:t>
            </w:r>
          </w:p>
          <w:p w14:paraId="70407366">
            <w:pPr>
              <w:spacing w:line="300" w:lineRule="auto"/>
              <w:rPr>
                <w:rFonts w:ascii="宋体" w:hAnsi="宋体" w:cs="宋体"/>
                <w:szCs w:val="21"/>
              </w:rPr>
            </w:pPr>
            <w:r>
              <w:rPr>
                <w:rFonts w:hint="eastAsia" w:ascii="宋体" w:hAnsi="宋体" w:cs="宋体"/>
                <w:szCs w:val="21"/>
              </w:rPr>
              <w:t>其他未标记的指标项（1</w:t>
            </w:r>
            <w:r>
              <w:rPr>
                <w:rFonts w:hint="eastAsia" w:ascii="宋体" w:hAnsi="宋体" w:cs="宋体"/>
                <w:szCs w:val="21"/>
                <w:lang w:val="en-US" w:eastAsia="zh-CN"/>
              </w:rPr>
              <w:t>4</w:t>
            </w:r>
            <w:r>
              <w:rPr>
                <w:rFonts w:hint="eastAsia" w:ascii="宋体" w:hAnsi="宋体" w:cs="宋体"/>
                <w:szCs w:val="21"/>
              </w:rPr>
              <w:t>条）为一般技术条款，完全满足，得1</w:t>
            </w:r>
            <w:r>
              <w:rPr>
                <w:rFonts w:hint="eastAsia" w:ascii="宋体" w:hAnsi="宋体" w:cs="宋体"/>
                <w:szCs w:val="21"/>
                <w:lang w:val="en-US" w:eastAsia="zh-CN"/>
              </w:rPr>
              <w:t>4</w:t>
            </w:r>
            <w:r>
              <w:rPr>
                <w:rFonts w:hint="eastAsia" w:ascii="宋体" w:hAnsi="宋体" w:cs="宋体"/>
                <w:szCs w:val="21"/>
              </w:rPr>
              <w:t>分，每负偏离一条扣1分。</w:t>
            </w:r>
          </w:p>
          <w:p w14:paraId="7397FAF9">
            <w:pPr>
              <w:pStyle w:val="16"/>
              <w:pBdr>
                <w:top w:val="none" w:color="000000" w:sz="0" w:space="0"/>
                <w:left w:val="none" w:color="000000" w:sz="0" w:space="0"/>
                <w:right w:val="none" w:color="000000" w:sz="0" w:space="0"/>
              </w:pBdr>
              <w:spacing w:line="288" w:lineRule="auto"/>
              <w:rPr>
                <w:rFonts w:ascii="宋体" w:hAnsi="宋体" w:cs="宋体"/>
                <w:b/>
                <w:bCs/>
                <w:szCs w:val="21"/>
              </w:rPr>
            </w:pPr>
            <w:r>
              <w:rPr>
                <w:rFonts w:hint="eastAsia" w:ascii="宋体" w:hAnsi="宋体" w:cs="宋体"/>
                <w:b/>
                <w:bCs/>
                <w:szCs w:val="21"/>
              </w:rPr>
              <w:t>注：</w:t>
            </w:r>
          </w:p>
          <w:p w14:paraId="28842A74">
            <w:pPr>
              <w:wordWrap w:val="0"/>
              <w:rPr>
                <w:rFonts w:ascii="宋体" w:hAnsi="宋体" w:cs="宋体"/>
                <w:b/>
                <w:bCs/>
                <w:szCs w:val="21"/>
              </w:rPr>
            </w:pPr>
            <w:r>
              <w:rPr>
                <w:rFonts w:hint="eastAsia" w:ascii="宋体" w:hAnsi="宋体" w:cs="宋体"/>
                <w:b/>
                <w:bCs/>
                <w:szCs w:val="21"/>
              </w:rPr>
              <w:t>（1）凡标有最低一级序号的指标项即为一项技术条款，无论是否隶属于上一级编号；</w:t>
            </w:r>
          </w:p>
          <w:p w14:paraId="715D71B0">
            <w:pPr>
              <w:wordWrap w:val="0"/>
              <w:rPr>
                <w:rFonts w:ascii="宋体" w:hAnsi="宋体" w:cs="宋体"/>
                <w:b/>
                <w:bCs/>
                <w:szCs w:val="21"/>
              </w:rPr>
            </w:pPr>
            <w:r>
              <w:rPr>
                <w:rFonts w:hint="eastAsia" w:ascii="宋体" w:hAnsi="宋体" w:cs="宋体"/>
                <w:b/>
                <w:bCs/>
                <w:szCs w:val="21"/>
              </w:rPr>
              <w:t>（2）对标注“★”“▲”项的技术要求（除另有说明外）必须在响应文件中提供公开发行的产品说明书或产品彩页或第三方检测报告复印件或可查询的产品制造商官网截图（附官网链接）或功能截图等佐证材料（如为复印件需加盖供应商公章，供应商自行承诺的证明材料不认可），未提供佐证资料的，评审时不予认可：加</w:t>
            </w:r>
            <w:r>
              <w:rPr>
                <w:rFonts w:hint="eastAsia"/>
                <w:b/>
                <w:bCs/>
              </w:rPr>
              <w:t>“</w:t>
            </w:r>
            <w:r>
              <w:rPr>
                <w:rFonts w:hint="eastAsia" w:ascii="宋体" w:hAnsi="宋体" w:cs="宋体"/>
                <w:b/>
                <w:bCs/>
              </w:rPr>
              <w:t>★</w:t>
            </w:r>
            <w:r>
              <w:rPr>
                <w:rFonts w:hint="eastAsia"/>
                <w:b/>
                <w:bCs/>
              </w:rPr>
              <w:t>”</w:t>
            </w:r>
            <w:r>
              <w:rPr>
                <w:rFonts w:hint="eastAsia" w:ascii="宋体" w:hAnsi="宋体" w:cs="宋体"/>
                <w:b/>
                <w:bCs/>
                <w:szCs w:val="21"/>
              </w:rPr>
              <w:t>未提供佐证材料或提供的佐证材料不满足要求，按无效标处理；“▲”未提供佐证材料或提供的佐证材料不满足要求的，按负偏离扣分处理。</w:t>
            </w:r>
          </w:p>
          <w:p w14:paraId="28DF6D11">
            <w:pPr>
              <w:widowControl/>
              <w:adjustRightInd w:val="0"/>
              <w:snapToGrid w:val="0"/>
              <w:spacing w:line="360" w:lineRule="auto"/>
              <w:rPr>
                <w:rFonts w:ascii="宋体" w:hAnsi="宋体" w:cs="宋体"/>
                <w:b/>
                <w:bCs/>
                <w:szCs w:val="21"/>
              </w:rPr>
            </w:pPr>
            <w:r>
              <w:rPr>
                <w:rFonts w:hint="eastAsia" w:ascii="宋体" w:hAnsi="宋体" w:cs="宋体"/>
                <w:b/>
                <w:bCs/>
                <w:szCs w:val="21"/>
              </w:rPr>
              <w:t>（3）所有证明材料应在技术规格偏离表中注明证明材料页码。</w:t>
            </w:r>
          </w:p>
        </w:tc>
        <w:tc>
          <w:tcPr>
            <w:tcW w:w="281" w:type="pct"/>
            <w:tcBorders>
              <w:top w:val="nil"/>
              <w:left w:val="nil"/>
              <w:bottom w:val="single" w:color="auto" w:sz="4" w:space="0"/>
              <w:right w:val="single" w:color="auto" w:sz="4" w:space="0"/>
            </w:tcBorders>
            <w:vAlign w:val="center"/>
          </w:tcPr>
          <w:p w14:paraId="1E67F008">
            <w:pPr>
              <w:widowControl/>
              <w:jc w:val="center"/>
              <w:rPr>
                <w:rFonts w:hint="eastAsia" w:ascii="宋体" w:hAnsi="宋体" w:eastAsia="宋体" w:cs="宋体"/>
                <w:lang w:eastAsia="zh-CN"/>
              </w:rPr>
            </w:pPr>
            <w:r>
              <w:rPr>
                <w:rFonts w:hint="eastAsia" w:ascii="宋体" w:hAnsi="宋体" w:cs="宋体"/>
              </w:rPr>
              <w:t>2</w:t>
            </w:r>
            <w:r>
              <w:rPr>
                <w:rFonts w:hint="eastAsia" w:ascii="宋体" w:hAnsi="宋体" w:cs="宋体"/>
                <w:lang w:val="en-US" w:eastAsia="zh-CN"/>
              </w:rPr>
              <w:t>8</w:t>
            </w:r>
          </w:p>
        </w:tc>
      </w:tr>
      <w:tr w14:paraId="7345D37F">
        <w:tblPrEx>
          <w:tblCellMar>
            <w:top w:w="0" w:type="dxa"/>
            <w:left w:w="108" w:type="dxa"/>
            <w:bottom w:w="0" w:type="dxa"/>
            <w:right w:w="108" w:type="dxa"/>
          </w:tblCellMar>
        </w:tblPrEx>
        <w:trPr>
          <w:trHeight w:val="1780" w:hRule="atLeast"/>
          <w:jc w:val="center"/>
        </w:trPr>
        <w:tc>
          <w:tcPr>
            <w:tcW w:w="231" w:type="pct"/>
            <w:tcBorders>
              <w:top w:val="single" w:color="auto" w:sz="4" w:space="0"/>
              <w:left w:val="single" w:color="auto" w:sz="4" w:space="0"/>
              <w:bottom w:val="single" w:color="auto" w:sz="4" w:space="0"/>
              <w:right w:val="single" w:color="auto" w:sz="4" w:space="0"/>
            </w:tcBorders>
            <w:vAlign w:val="center"/>
          </w:tcPr>
          <w:p w14:paraId="2DBB00E2">
            <w:pPr>
              <w:widowControl/>
              <w:jc w:val="center"/>
              <w:rPr>
                <w:rFonts w:ascii="宋体" w:hAnsi="宋体" w:cs="宋体"/>
              </w:rPr>
            </w:pPr>
            <w:r>
              <w:rPr>
                <w:rFonts w:hint="eastAsia" w:ascii="宋体" w:hAnsi="宋体" w:cs="宋体"/>
              </w:rPr>
              <w:t>3</w:t>
            </w:r>
          </w:p>
        </w:tc>
        <w:tc>
          <w:tcPr>
            <w:tcW w:w="553" w:type="pct"/>
            <w:tcBorders>
              <w:top w:val="single" w:color="auto" w:sz="4" w:space="0"/>
              <w:left w:val="single" w:color="auto" w:sz="4" w:space="0"/>
              <w:bottom w:val="single" w:color="auto" w:sz="4" w:space="0"/>
              <w:right w:val="single" w:color="auto" w:sz="4" w:space="0"/>
            </w:tcBorders>
            <w:vAlign w:val="center"/>
          </w:tcPr>
          <w:p w14:paraId="5FADDB2A">
            <w:pPr>
              <w:adjustRightInd w:val="0"/>
              <w:snapToGrid w:val="0"/>
              <w:spacing w:line="360" w:lineRule="exact"/>
              <w:jc w:val="center"/>
              <w:rPr>
                <w:rFonts w:ascii="宋体" w:hAnsi="宋体"/>
              </w:rPr>
            </w:pPr>
            <w:r>
              <w:rPr>
                <w:rFonts w:hint="eastAsia" w:ascii="宋体" w:hAnsi="宋体"/>
                <w:szCs w:val="21"/>
              </w:rPr>
              <w:t>项目实施方案</w:t>
            </w:r>
          </w:p>
        </w:tc>
        <w:tc>
          <w:tcPr>
            <w:tcW w:w="3933" w:type="pct"/>
            <w:tcBorders>
              <w:top w:val="single" w:color="auto" w:sz="4" w:space="0"/>
              <w:left w:val="single" w:color="auto" w:sz="4" w:space="0"/>
              <w:bottom w:val="single" w:color="auto" w:sz="4" w:space="0"/>
              <w:right w:val="single" w:color="auto" w:sz="4" w:space="0"/>
            </w:tcBorders>
          </w:tcPr>
          <w:p w14:paraId="3DC539B0">
            <w:pPr>
              <w:adjustRightInd w:val="0"/>
              <w:snapToGrid w:val="0"/>
              <w:spacing w:line="360" w:lineRule="exact"/>
              <w:rPr>
                <w:rFonts w:hint="default" w:ascii="宋体" w:hAnsi="宋体"/>
                <w:szCs w:val="21"/>
                <w:lang w:val="en-US" w:eastAsia="zh-CN"/>
              </w:rPr>
            </w:pPr>
            <w:r>
              <w:rPr>
                <w:rFonts w:hint="default" w:ascii="宋体" w:hAnsi="宋体"/>
                <w:szCs w:val="21"/>
                <w:lang w:val="en-US" w:eastAsia="zh-CN"/>
              </w:rPr>
              <w:t>根据</w:t>
            </w:r>
            <w:r>
              <w:rPr>
                <w:rFonts w:hint="eastAsia" w:ascii="宋体" w:hAnsi="宋体"/>
                <w:szCs w:val="21"/>
                <w:lang w:val="en-US" w:eastAsia="zh-CN"/>
              </w:rPr>
              <w:t>供应商</w:t>
            </w:r>
            <w:r>
              <w:rPr>
                <w:rFonts w:hint="default" w:ascii="宋体" w:hAnsi="宋体"/>
                <w:szCs w:val="21"/>
                <w:lang w:val="en-US" w:eastAsia="zh-CN"/>
              </w:rPr>
              <w:t>提供项目实施方案（内容包括但不限于：设备安装方案、计划进度、项目管理以及验收方案等）进行</w:t>
            </w:r>
            <w:r>
              <w:rPr>
                <w:rFonts w:hint="eastAsia" w:ascii="宋体" w:hAnsi="宋体"/>
                <w:szCs w:val="21"/>
              </w:rPr>
              <w:t>综合</w:t>
            </w:r>
            <w:r>
              <w:rPr>
                <w:rFonts w:hint="default" w:ascii="宋体" w:hAnsi="宋体"/>
                <w:szCs w:val="21"/>
                <w:lang w:val="en-US" w:eastAsia="zh-CN"/>
              </w:rPr>
              <w:t>评审：</w:t>
            </w:r>
          </w:p>
          <w:p w14:paraId="2DFC2E7C">
            <w:pPr>
              <w:adjustRightInd w:val="0"/>
              <w:snapToGrid w:val="0"/>
              <w:spacing w:line="360" w:lineRule="exact"/>
              <w:rPr>
                <w:rFonts w:hint="default" w:ascii="宋体" w:hAnsi="宋体"/>
                <w:szCs w:val="21"/>
                <w:lang w:val="en-US" w:eastAsia="zh-CN"/>
              </w:rPr>
            </w:pPr>
            <w:r>
              <w:rPr>
                <w:rFonts w:hint="default" w:ascii="宋体" w:hAnsi="宋体"/>
                <w:szCs w:val="21"/>
                <w:lang w:val="en-US" w:eastAsia="zh-CN"/>
              </w:rPr>
              <w:t>方案内容完整、详细，进度控制合理，项目管理以及验收方案科学合理，可行性强，优于项目实际需求，得</w:t>
            </w:r>
            <w:r>
              <w:rPr>
                <w:rFonts w:hint="eastAsia" w:ascii="宋体" w:hAnsi="宋体"/>
                <w:szCs w:val="21"/>
                <w:lang w:val="en-US" w:eastAsia="zh-CN"/>
              </w:rPr>
              <w:t>8</w:t>
            </w:r>
            <w:r>
              <w:rPr>
                <w:rFonts w:hint="default" w:ascii="宋体" w:hAnsi="宋体"/>
                <w:szCs w:val="21"/>
                <w:lang w:val="en-US" w:eastAsia="zh-CN"/>
              </w:rPr>
              <w:t>分；</w:t>
            </w:r>
          </w:p>
          <w:p w14:paraId="55AC767B">
            <w:pPr>
              <w:adjustRightInd w:val="0"/>
              <w:snapToGrid w:val="0"/>
              <w:spacing w:line="360" w:lineRule="exact"/>
              <w:rPr>
                <w:rFonts w:hint="default" w:ascii="宋体" w:hAnsi="宋体"/>
                <w:szCs w:val="21"/>
                <w:lang w:val="en-US" w:eastAsia="zh-CN"/>
              </w:rPr>
            </w:pPr>
            <w:r>
              <w:rPr>
                <w:rFonts w:hint="default" w:ascii="宋体" w:hAnsi="宋体"/>
                <w:szCs w:val="21"/>
                <w:lang w:val="en-US" w:eastAsia="zh-CN"/>
              </w:rPr>
              <w:t>方案内容完整，进度控制较合理，项目管理以及验收方案合理，可行性较强，满足项目实际需求，得</w:t>
            </w:r>
            <w:r>
              <w:rPr>
                <w:rFonts w:hint="eastAsia" w:ascii="宋体" w:hAnsi="宋体"/>
                <w:szCs w:val="21"/>
                <w:lang w:val="en-US" w:eastAsia="zh-CN"/>
              </w:rPr>
              <w:t>5</w:t>
            </w:r>
            <w:r>
              <w:rPr>
                <w:rFonts w:hint="default" w:ascii="宋体" w:hAnsi="宋体"/>
                <w:szCs w:val="21"/>
                <w:lang w:val="en-US" w:eastAsia="zh-CN"/>
              </w:rPr>
              <w:t>分；</w:t>
            </w:r>
          </w:p>
          <w:p w14:paraId="683E6367">
            <w:pPr>
              <w:adjustRightInd w:val="0"/>
              <w:snapToGrid w:val="0"/>
              <w:spacing w:line="360" w:lineRule="exact"/>
              <w:rPr>
                <w:rFonts w:hint="default" w:ascii="宋体" w:hAnsi="宋体"/>
                <w:szCs w:val="21"/>
                <w:lang w:val="en-US" w:eastAsia="zh-CN"/>
              </w:rPr>
            </w:pPr>
            <w:r>
              <w:rPr>
                <w:rFonts w:hint="default" w:ascii="宋体" w:hAnsi="宋体"/>
                <w:szCs w:val="21"/>
                <w:lang w:val="en-US" w:eastAsia="zh-CN"/>
              </w:rPr>
              <w:t>方案内容较完整，进度控制一般，项目管理以及验收方案一般，具有一定可行性，基本满足项目实际需求，得2分；</w:t>
            </w:r>
          </w:p>
          <w:p w14:paraId="023D2C57">
            <w:pPr>
              <w:adjustRightInd w:val="0"/>
              <w:snapToGrid w:val="0"/>
              <w:spacing w:line="360" w:lineRule="exact"/>
              <w:rPr>
                <w:rFonts w:hint="default" w:ascii="宋体" w:hAnsi="宋体"/>
                <w:szCs w:val="21"/>
                <w:lang w:val="en-US" w:eastAsia="zh-CN"/>
              </w:rPr>
            </w:pPr>
            <w:r>
              <w:rPr>
                <w:rFonts w:hint="default" w:ascii="宋体" w:hAnsi="宋体"/>
                <w:szCs w:val="21"/>
                <w:lang w:val="en-US" w:eastAsia="zh-CN"/>
              </w:rPr>
              <w:t>不能满足本项目要求或未提供的不得分</w:t>
            </w:r>
          </w:p>
        </w:tc>
        <w:tc>
          <w:tcPr>
            <w:tcW w:w="281" w:type="pct"/>
            <w:tcBorders>
              <w:top w:val="single" w:color="auto" w:sz="4" w:space="0"/>
              <w:left w:val="single" w:color="auto" w:sz="4" w:space="0"/>
              <w:bottom w:val="single" w:color="auto" w:sz="4" w:space="0"/>
              <w:right w:val="single" w:color="auto" w:sz="4" w:space="0"/>
            </w:tcBorders>
            <w:vAlign w:val="center"/>
          </w:tcPr>
          <w:p w14:paraId="7B04693A">
            <w:pPr>
              <w:widowControl/>
              <w:jc w:val="center"/>
              <w:rPr>
                <w:rFonts w:hint="eastAsia" w:ascii="宋体" w:hAnsi="宋体" w:eastAsia="宋体"/>
                <w:lang w:eastAsia="zh-CN"/>
              </w:rPr>
            </w:pPr>
            <w:r>
              <w:rPr>
                <w:rFonts w:hint="eastAsia" w:ascii="宋体" w:hAnsi="宋体"/>
                <w:lang w:val="en-US" w:eastAsia="zh-CN"/>
              </w:rPr>
              <w:t>8</w:t>
            </w:r>
          </w:p>
        </w:tc>
      </w:tr>
      <w:tr w14:paraId="304B83FA">
        <w:tblPrEx>
          <w:tblCellMar>
            <w:top w:w="0" w:type="dxa"/>
            <w:left w:w="108" w:type="dxa"/>
            <w:bottom w:w="0" w:type="dxa"/>
            <w:right w:w="108" w:type="dxa"/>
          </w:tblCellMar>
        </w:tblPrEx>
        <w:trPr>
          <w:trHeight w:val="970" w:hRule="atLeast"/>
          <w:jc w:val="center"/>
        </w:trPr>
        <w:tc>
          <w:tcPr>
            <w:tcW w:w="231" w:type="pct"/>
            <w:tcBorders>
              <w:top w:val="single" w:color="auto" w:sz="4" w:space="0"/>
              <w:left w:val="single" w:color="auto" w:sz="4" w:space="0"/>
              <w:bottom w:val="single" w:color="auto" w:sz="4" w:space="0"/>
              <w:right w:val="single" w:color="auto" w:sz="4" w:space="0"/>
            </w:tcBorders>
            <w:vAlign w:val="center"/>
          </w:tcPr>
          <w:p w14:paraId="58CFB209">
            <w:pPr>
              <w:widowControl/>
              <w:jc w:val="center"/>
              <w:rPr>
                <w:rFonts w:ascii="宋体" w:hAnsi="宋体" w:cs="宋体"/>
              </w:rPr>
            </w:pPr>
            <w:r>
              <w:rPr>
                <w:rFonts w:hint="eastAsia" w:ascii="宋体" w:hAnsi="宋体" w:cs="宋体"/>
              </w:rPr>
              <w:t>4</w:t>
            </w:r>
          </w:p>
        </w:tc>
        <w:tc>
          <w:tcPr>
            <w:tcW w:w="553" w:type="pct"/>
            <w:tcBorders>
              <w:top w:val="single" w:color="auto" w:sz="4" w:space="0"/>
              <w:left w:val="single" w:color="auto" w:sz="4" w:space="0"/>
              <w:bottom w:val="single" w:color="auto" w:sz="4" w:space="0"/>
              <w:right w:val="single" w:color="auto" w:sz="4" w:space="0"/>
            </w:tcBorders>
            <w:vAlign w:val="center"/>
          </w:tcPr>
          <w:p w14:paraId="32EDE9B3">
            <w:pPr>
              <w:adjustRightInd w:val="0"/>
              <w:snapToGrid w:val="0"/>
              <w:spacing w:line="360" w:lineRule="exact"/>
              <w:jc w:val="center"/>
              <w:rPr>
                <w:rFonts w:ascii="宋体" w:hAnsi="宋体"/>
                <w:szCs w:val="21"/>
              </w:rPr>
            </w:pPr>
            <w:r>
              <w:rPr>
                <w:rFonts w:hint="eastAsia" w:ascii="宋体" w:hAnsi="宋体"/>
                <w:szCs w:val="21"/>
              </w:rPr>
              <w:t>产品综合评价</w:t>
            </w:r>
          </w:p>
          <w:p w14:paraId="6C2B371D">
            <w:pPr>
              <w:adjustRightInd w:val="0"/>
              <w:snapToGrid w:val="0"/>
              <w:spacing w:line="360" w:lineRule="exact"/>
              <w:jc w:val="center"/>
              <w:rPr>
                <w:rFonts w:ascii="宋体" w:hAnsi="宋体"/>
              </w:rPr>
            </w:pPr>
          </w:p>
        </w:tc>
        <w:tc>
          <w:tcPr>
            <w:tcW w:w="3933" w:type="pct"/>
            <w:tcBorders>
              <w:top w:val="single" w:color="auto" w:sz="4" w:space="0"/>
              <w:left w:val="single" w:color="auto" w:sz="4" w:space="0"/>
              <w:bottom w:val="single" w:color="auto" w:sz="4" w:space="0"/>
              <w:right w:val="single" w:color="auto" w:sz="4" w:space="0"/>
            </w:tcBorders>
          </w:tcPr>
          <w:p w14:paraId="50EE517D">
            <w:pPr>
              <w:adjustRightInd w:val="0"/>
              <w:snapToGrid w:val="0"/>
              <w:spacing w:line="360" w:lineRule="exact"/>
              <w:rPr>
                <w:rFonts w:ascii="宋体" w:hAnsi="宋体"/>
                <w:szCs w:val="21"/>
                <w:lang w:val="zh-CN"/>
              </w:rPr>
            </w:pPr>
            <w:r>
              <w:rPr>
                <w:rFonts w:hint="eastAsia" w:ascii="宋体" w:hAnsi="宋体"/>
                <w:szCs w:val="21"/>
                <w:lang w:val="zh-CN"/>
              </w:rPr>
              <w:t>根据</w:t>
            </w:r>
            <w:r>
              <w:rPr>
                <w:rFonts w:hint="eastAsia" w:ascii="宋体" w:hAnsi="宋体"/>
                <w:szCs w:val="21"/>
              </w:rPr>
              <w:t>供应商</w:t>
            </w:r>
            <w:r>
              <w:rPr>
                <w:rFonts w:hint="eastAsia" w:ascii="宋体" w:hAnsi="宋体"/>
                <w:szCs w:val="21"/>
                <w:lang w:val="zh-CN"/>
              </w:rPr>
              <w:t>所投</w:t>
            </w:r>
            <w:r>
              <w:rPr>
                <w:rFonts w:hint="eastAsia" w:ascii="宋体" w:hAnsi="宋体"/>
                <w:szCs w:val="21"/>
              </w:rPr>
              <w:t>产品的综合情况进行打分（包括但不限于：</w:t>
            </w:r>
            <w:r>
              <w:rPr>
                <w:rFonts w:hint="eastAsia" w:ascii="宋体" w:hAnsi="宋体"/>
                <w:szCs w:val="21"/>
                <w:lang w:val="zh-CN"/>
              </w:rPr>
              <w:t>设备的性能、</w:t>
            </w:r>
            <w:r>
              <w:rPr>
                <w:rFonts w:hint="eastAsia" w:ascii="宋体" w:hAnsi="宋体"/>
                <w:szCs w:val="21"/>
              </w:rPr>
              <w:t>质量可靠性以及产品核心技术先进性，证明材料包括但不限于既往用户满意度评价、调查数据、文献等证明材料）进行综合评审：</w:t>
            </w:r>
          </w:p>
          <w:p w14:paraId="61B90F49">
            <w:pPr>
              <w:adjustRightInd w:val="0"/>
              <w:snapToGrid w:val="0"/>
              <w:spacing w:line="360" w:lineRule="exact"/>
              <w:rPr>
                <w:rFonts w:ascii="宋体" w:hAnsi="宋体"/>
                <w:szCs w:val="21"/>
              </w:rPr>
            </w:pPr>
            <w:r>
              <w:rPr>
                <w:rFonts w:hint="eastAsia" w:ascii="宋体" w:hAnsi="宋体"/>
                <w:szCs w:val="21"/>
              </w:rPr>
              <w:t>性能稳定、质量可靠高、核心技术先进的，证明材料充分，得7分；</w:t>
            </w:r>
          </w:p>
          <w:p w14:paraId="138C4C6C">
            <w:pPr>
              <w:adjustRightInd w:val="0"/>
              <w:snapToGrid w:val="0"/>
              <w:spacing w:line="360" w:lineRule="exact"/>
              <w:rPr>
                <w:rFonts w:ascii="宋体" w:hAnsi="宋体"/>
                <w:szCs w:val="21"/>
              </w:rPr>
            </w:pPr>
            <w:r>
              <w:rPr>
                <w:rFonts w:hint="eastAsia" w:ascii="宋体" w:hAnsi="宋体"/>
                <w:szCs w:val="21"/>
              </w:rPr>
              <w:t>性能较稳定、质量可靠性较高、核心技术较先进的，证明材料较充分，得</w:t>
            </w:r>
            <w:r>
              <w:rPr>
                <w:rFonts w:hint="eastAsia" w:ascii="宋体" w:hAnsi="宋体"/>
                <w:szCs w:val="21"/>
                <w:lang w:val="en-US" w:eastAsia="zh-CN"/>
              </w:rPr>
              <w:t>4</w:t>
            </w:r>
            <w:r>
              <w:rPr>
                <w:rFonts w:hint="eastAsia" w:ascii="宋体" w:hAnsi="宋体"/>
                <w:szCs w:val="21"/>
              </w:rPr>
              <w:t>分；</w:t>
            </w:r>
          </w:p>
          <w:p w14:paraId="085C8A1A">
            <w:pPr>
              <w:adjustRightInd w:val="0"/>
              <w:snapToGrid w:val="0"/>
              <w:spacing w:line="360" w:lineRule="exact"/>
              <w:rPr>
                <w:rFonts w:ascii="宋体" w:hAnsi="宋体"/>
                <w:szCs w:val="21"/>
              </w:rPr>
            </w:pPr>
            <w:r>
              <w:rPr>
                <w:rFonts w:hint="eastAsia" w:ascii="宋体" w:hAnsi="宋体"/>
                <w:szCs w:val="21"/>
              </w:rPr>
              <w:t>性能稳定性一般、质量可靠性一般、核心技术先进性一般的，证明材料一般，得</w:t>
            </w:r>
            <w:r>
              <w:rPr>
                <w:rFonts w:hint="eastAsia" w:ascii="宋体" w:hAnsi="宋体"/>
                <w:szCs w:val="21"/>
                <w:lang w:val="en-US" w:eastAsia="zh-CN"/>
              </w:rPr>
              <w:t>1</w:t>
            </w:r>
            <w:r>
              <w:rPr>
                <w:rFonts w:hint="eastAsia" w:ascii="宋体" w:hAnsi="宋体"/>
                <w:szCs w:val="21"/>
              </w:rPr>
              <w:t>分；</w:t>
            </w:r>
          </w:p>
          <w:p w14:paraId="612ACA21">
            <w:pPr>
              <w:adjustRightInd w:val="0"/>
              <w:snapToGrid w:val="0"/>
              <w:spacing w:line="360" w:lineRule="exact"/>
              <w:rPr>
                <w:rFonts w:ascii="宋体" w:hAnsi="宋体" w:cs="宋体"/>
                <w:szCs w:val="21"/>
                <w:highlight w:val="yellow"/>
              </w:rPr>
            </w:pPr>
            <w:r>
              <w:rPr>
                <w:rFonts w:hint="eastAsia" w:ascii="宋体" w:hAnsi="宋体"/>
                <w:szCs w:val="21"/>
              </w:rPr>
              <w:t>性能稳定性差、质量可靠性低或技术落后的或者未提供的，不得分。</w:t>
            </w:r>
          </w:p>
        </w:tc>
        <w:tc>
          <w:tcPr>
            <w:tcW w:w="281" w:type="pct"/>
            <w:tcBorders>
              <w:top w:val="single" w:color="auto" w:sz="4" w:space="0"/>
              <w:left w:val="single" w:color="auto" w:sz="4" w:space="0"/>
              <w:bottom w:val="single" w:color="auto" w:sz="4" w:space="0"/>
              <w:right w:val="single" w:color="auto" w:sz="4" w:space="0"/>
            </w:tcBorders>
            <w:vAlign w:val="center"/>
          </w:tcPr>
          <w:p w14:paraId="41994727">
            <w:pPr>
              <w:widowControl/>
              <w:jc w:val="center"/>
              <w:rPr>
                <w:rFonts w:ascii="宋体" w:hAnsi="宋体"/>
              </w:rPr>
            </w:pPr>
            <w:r>
              <w:rPr>
                <w:rFonts w:hint="eastAsia" w:ascii="宋体" w:hAnsi="宋体"/>
              </w:rPr>
              <w:t>7</w:t>
            </w:r>
          </w:p>
        </w:tc>
      </w:tr>
      <w:tr w14:paraId="2660361F">
        <w:tblPrEx>
          <w:tblCellMar>
            <w:top w:w="0" w:type="dxa"/>
            <w:left w:w="108" w:type="dxa"/>
            <w:bottom w:w="0" w:type="dxa"/>
            <w:right w:w="108" w:type="dxa"/>
          </w:tblCellMar>
        </w:tblPrEx>
        <w:trPr>
          <w:trHeight w:val="773" w:hRule="atLeast"/>
          <w:jc w:val="center"/>
        </w:trPr>
        <w:tc>
          <w:tcPr>
            <w:tcW w:w="231" w:type="pct"/>
            <w:tcBorders>
              <w:top w:val="nil"/>
              <w:left w:val="single" w:color="auto" w:sz="4" w:space="0"/>
              <w:right w:val="single" w:color="auto" w:sz="4" w:space="0"/>
            </w:tcBorders>
            <w:vAlign w:val="center"/>
          </w:tcPr>
          <w:p w14:paraId="5C12DB5F">
            <w:pPr>
              <w:widowControl/>
              <w:jc w:val="center"/>
              <w:rPr>
                <w:rFonts w:ascii="宋体" w:hAnsi="宋体" w:cs="宋体"/>
              </w:rPr>
            </w:pPr>
            <w:r>
              <w:rPr>
                <w:rFonts w:hint="eastAsia" w:ascii="宋体" w:hAnsi="宋体" w:cs="宋体"/>
              </w:rPr>
              <w:t>5</w:t>
            </w:r>
          </w:p>
        </w:tc>
        <w:tc>
          <w:tcPr>
            <w:tcW w:w="553" w:type="pct"/>
            <w:tcBorders>
              <w:top w:val="single" w:color="auto" w:sz="4" w:space="0"/>
              <w:left w:val="single" w:color="auto" w:sz="4" w:space="0"/>
              <w:right w:val="single" w:color="auto" w:sz="4" w:space="0"/>
            </w:tcBorders>
            <w:vAlign w:val="center"/>
          </w:tcPr>
          <w:p w14:paraId="5A76A546">
            <w:pPr>
              <w:adjustRightInd w:val="0"/>
              <w:snapToGrid w:val="0"/>
              <w:spacing w:line="360" w:lineRule="exact"/>
              <w:jc w:val="center"/>
              <w:rPr>
                <w:rFonts w:ascii="宋体" w:hAnsi="宋体"/>
                <w:szCs w:val="21"/>
              </w:rPr>
            </w:pPr>
            <w:r>
              <w:rPr>
                <w:rFonts w:hint="eastAsia" w:ascii="宋体" w:hAnsi="宋体"/>
                <w:szCs w:val="21"/>
              </w:rPr>
              <w:t>售后服务</w:t>
            </w:r>
          </w:p>
          <w:p w14:paraId="14AF5F80">
            <w:pPr>
              <w:adjustRightInd w:val="0"/>
              <w:snapToGrid w:val="0"/>
              <w:spacing w:line="300" w:lineRule="auto"/>
              <w:jc w:val="center"/>
              <w:rPr>
                <w:rFonts w:ascii="宋体" w:hAnsi="宋体"/>
              </w:rPr>
            </w:pPr>
          </w:p>
        </w:tc>
        <w:tc>
          <w:tcPr>
            <w:tcW w:w="3933" w:type="pct"/>
            <w:tcBorders>
              <w:top w:val="single" w:color="auto" w:sz="4" w:space="0"/>
              <w:left w:val="single" w:color="auto" w:sz="4" w:space="0"/>
              <w:bottom w:val="single" w:color="auto" w:sz="4" w:space="0"/>
              <w:right w:val="single" w:color="auto" w:sz="4" w:space="0"/>
            </w:tcBorders>
            <w:shd w:val="clear" w:color="auto" w:fill="auto"/>
            <w:vAlign w:val="center"/>
          </w:tcPr>
          <w:p w14:paraId="26EF68A6">
            <w:pPr>
              <w:adjustRightInd w:val="0"/>
              <w:snapToGrid w:val="0"/>
              <w:spacing w:line="360" w:lineRule="exact"/>
              <w:rPr>
                <w:rFonts w:ascii="宋体" w:hAnsi="宋体"/>
                <w:szCs w:val="21"/>
              </w:rPr>
            </w:pPr>
            <w:r>
              <w:rPr>
                <w:rFonts w:hint="eastAsia" w:ascii="宋体" w:hAnsi="宋体" w:cs="宋体"/>
                <w:szCs w:val="21"/>
              </w:rPr>
              <w:t>根据供应商提供的售后服务方案（内容包括但不限于服务体系和服务内容、技术人员配备、服务响应及时性等）进行综合评审：</w:t>
            </w:r>
          </w:p>
          <w:p w14:paraId="498E7628">
            <w:pPr>
              <w:adjustRightInd w:val="0"/>
              <w:snapToGrid w:val="0"/>
              <w:spacing w:line="360" w:lineRule="exact"/>
              <w:rPr>
                <w:rFonts w:ascii="宋体" w:hAnsi="宋体"/>
                <w:szCs w:val="21"/>
              </w:rPr>
            </w:pPr>
            <w:r>
              <w:rPr>
                <w:rFonts w:hint="eastAsia" w:ascii="宋体" w:hAnsi="宋体"/>
                <w:szCs w:val="21"/>
              </w:rPr>
              <w:t>售后服务体系完善，技术人员专业齐全、服务响应及时，得7分；</w:t>
            </w:r>
          </w:p>
          <w:p w14:paraId="7957ABCD">
            <w:pPr>
              <w:adjustRightInd w:val="0"/>
              <w:snapToGrid w:val="0"/>
              <w:spacing w:line="360" w:lineRule="exact"/>
              <w:rPr>
                <w:rFonts w:ascii="宋体" w:hAnsi="宋体"/>
                <w:szCs w:val="21"/>
              </w:rPr>
            </w:pPr>
            <w:r>
              <w:rPr>
                <w:rFonts w:hint="eastAsia" w:ascii="宋体" w:hAnsi="宋体"/>
                <w:szCs w:val="21"/>
              </w:rPr>
              <w:t>具备基础的售后服务体系，配备技术人员、服务响应较及时，得</w:t>
            </w:r>
            <w:r>
              <w:rPr>
                <w:rFonts w:hint="eastAsia" w:ascii="宋体" w:hAnsi="宋体"/>
                <w:szCs w:val="21"/>
                <w:lang w:val="en-US" w:eastAsia="zh-CN"/>
              </w:rPr>
              <w:t>4</w:t>
            </w:r>
            <w:r>
              <w:rPr>
                <w:rFonts w:hint="eastAsia" w:ascii="宋体" w:hAnsi="宋体"/>
                <w:szCs w:val="21"/>
              </w:rPr>
              <w:t>分；</w:t>
            </w:r>
          </w:p>
          <w:p w14:paraId="3366DE6B">
            <w:pPr>
              <w:adjustRightInd w:val="0"/>
              <w:snapToGrid w:val="0"/>
              <w:spacing w:line="360" w:lineRule="exact"/>
              <w:rPr>
                <w:rFonts w:ascii="宋体" w:hAnsi="宋体"/>
                <w:szCs w:val="21"/>
              </w:rPr>
            </w:pPr>
            <w:r>
              <w:rPr>
                <w:rFonts w:hint="eastAsia" w:ascii="宋体" w:hAnsi="宋体"/>
                <w:szCs w:val="21"/>
              </w:rPr>
              <w:t>售后服务体系不够完善，技术人员配备缺乏、服务响应及时性较低，得1分；</w:t>
            </w:r>
          </w:p>
          <w:p w14:paraId="0C6F8DF5">
            <w:pPr>
              <w:adjustRightInd w:val="0"/>
              <w:snapToGrid w:val="0"/>
              <w:spacing w:line="360" w:lineRule="exact"/>
              <w:rPr>
                <w:rFonts w:ascii="宋体" w:hAnsi="宋体"/>
                <w:szCs w:val="21"/>
              </w:rPr>
            </w:pPr>
            <w:r>
              <w:rPr>
                <w:rFonts w:hint="eastAsia" w:ascii="宋体" w:hAnsi="宋体" w:cs="宋体"/>
                <w:szCs w:val="21"/>
              </w:rPr>
              <w:t>不能满足本项目要求或未提供的不得分。</w:t>
            </w:r>
          </w:p>
        </w:tc>
        <w:tc>
          <w:tcPr>
            <w:tcW w:w="281" w:type="pct"/>
            <w:tcBorders>
              <w:top w:val="single" w:color="auto" w:sz="4" w:space="0"/>
              <w:left w:val="single" w:color="auto" w:sz="4" w:space="0"/>
              <w:right w:val="single" w:color="auto" w:sz="4" w:space="0"/>
            </w:tcBorders>
            <w:vAlign w:val="center"/>
          </w:tcPr>
          <w:p w14:paraId="2EA5B6BD">
            <w:pPr>
              <w:widowControl/>
              <w:jc w:val="center"/>
              <w:rPr>
                <w:rFonts w:ascii="宋体" w:hAnsi="宋体"/>
              </w:rPr>
            </w:pPr>
            <w:r>
              <w:rPr>
                <w:rFonts w:hint="eastAsia" w:ascii="宋体" w:hAnsi="宋体"/>
              </w:rPr>
              <w:t>7</w:t>
            </w:r>
          </w:p>
        </w:tc>
      </w:tr>
      <w:tr w14:paraId="164AC7AB">
        <w:tblPrEx>
          <w:tblCellMar>
            <w:top w:w="0" w:type="dxa"/>
            <w:left w:w="108" w:type="dxa"/>
            <w:bottom w:w="0" w:type="dxa"/>
            <w:right w:w="108" w:type="dxa"/>
          </w:tblCellMar>
        </w:tblPrEx>
        <w:trPr>
          <w:trHeight w:val="1708" w:hRule="atLeast"/>
          <w:jc w:val="center"/>
        </w:trPr>
        <w:tc>
          <w:tcPr>
            <w:tcW w:w="231" w:type="pct"/>
            <w:tcBorders>
              <w:top w:val="nil"/>
              <w:left w:val="single" w:color="auto" w:sz="4" w:space="0"/>
              <w:bottom w:val="single" w:color="auto" w:sz="4" w:space="0"/>
              <w:right w:val="single" w:color="auto" w:sz="4" w:space="0"/>
            </w:tcBorders>
            <w:vAlign w:val="center"/>
          </w:tcPr>
          <w:p w14:paraId="54090559">
            <w:pPr>
              <w:widowControl/>
              <w:jc w:val="center"/>
              <w:rPr>
                <w:rFonts w:ascii="宋体" w:hAnsi="宋体" w:cs="宋体"/>
              </w:rPr>
            </w:pPr>
            <w:r>
              <w:rPr>
                <w:rFonts w:hint="eastAsia" w:ascii="宋体" w:hAnsi="宋体" w:cs="宋体"/>
              </w:rPr>
              <w:t>6</w:t>
            </w:r>
          </w:p>
        </w:tc>
        <w:tc>
          <w:tcPr>
            <w:tcW w:w="553" w:type="pct"/>
            <w:tcBorders>
              <w:top w:val="single" w:color="auto" w:sz="4" w:space="0"/>
              <w:left w:val="single" w:color="auto" w:sz="4" w:space="0"/>
              <w:bottom w:val="single" w:color="auto" w:sz="4" w:space="0"/>
              <w:right w:val="single" w:color="auto" w:sz="4" w:space="0"/>
            </w:tcBorders>
            <w:vAlign w:val="center"/>
          </w:tcPr>
          <w:p w14:paraId="791F091C">
            <w:pPr>
              <w:widowControl/>
              <w:wordWrap w:val="0"/>
              <w:adjustRightInd w:val="0"/>
              <w:snapToGrid w:val="0"/>
              <w:jc w:val="center"/>
              <w:rPr>
                <w:rFonts w:cs="宋体"/>
              </w:rPr>
            </w:pPr>
            <w:r>
              <w:rPr>
                <w:rFonts w:hint="eastAsia" w:cs="宋体"/>
              </w:rPr>
              <w:t>培训方案</w:t>
            </w:r>
          </w:p>
          <w:p w14:paraId="36AD78F3">
            <w:pPr>
              <w:adjustRightInd w:val="0"/>
              <w:snapToGrid w:val="0"/>
              <w:spacing w:line="360" w:lineRule="exact"/>
              <w:jc w:val="center"/>
              <w:rPr>
                <w:rFonts w:ascii="宋体" w:hAnsi="宋体" w:cs="仿宋"/>
                <w:szCs w:val="21"/>
                <w:lang w:bidi="zh-CN"/>
              </w:rPr>
            </w:pPr>
          </w:p>
        </w:tc>
        <w:tc>
          <w:tcPr>
            <w:tcW w:w="3933" w:type="pct"/>
            <w:tcBorders>
              <w:top w:val="single" w:color="auto" w:sz="4" w:space="0"/>
              <w:left w:val="single" w:color="auto" w:sz="4" w:space="0"/>
              <w:bottom w:val="single" w:color="auto" w:sz="4" w:space="0"/>
              <w:right w:val="single" w:color="auto" w:sz="4" w:space="0"/>
            </w:tcBorders>
            <w:vAlign w:val="center"/>
          </w:tcPr>
          <w:p w14:paraId="3805CCD5">
            <w:pPr>
              <w:jc w:val="left"/>
              <w:rPr>
                <w:rFonts w:ascii="宋体" w:hAnsi="宋体"/>
                <w:szCs w:val="21"/>
              </w:rPr>
            </w:pPr>
            <w:r>
              <w:rPr>
                <w:rFonts w:hint="eastAsia" w:ascii="宋体" w:hAnsi="宋体"/>
                <w:szCs w:val="21"/>
              </w:rPr>
              <w:t>根据供应商提供的免费培训方案（包括但不限于频次安排和内容安排等）进行综合评审：</w:t>
            </w:r>
          </w:p>
          <w:p w14:paraId="518FD6F4">
            <w:pPr>
              <w:jc w:val="left"/>
              <w:rPr>
                <w:rFonts w:ascii="宋体" w:hAnsi="宋体"/>
                <w:szCs w:val="21"/>
              </w:rPr>
            </w:pPr>
            <w:r>
              <w:rPr>
                <w:rFonts w:hint="eastAsia" w:ascii="宋体" w:hAnsi="宋体"/>
                <w:szCs w:val="21"/>
              </w:rPr>
              <w:t>方案详细、培训时长饱和、培训内容丰富，得7分；</w:t>
            </w:r>
          </w:p>
          <w:p w14:paraId="163624BC">
            <w:pPr>
              <w:jc w:val="left"/>
              <w:rPr>
                <w:rFonts w:ascii="宋体" w:hAnsi="宋体"/>
                <w:szCs w:val="21"/>
              </w:rPr>
            </w:pPr>
            <w:r>
              <w:rPr>
                <w:rFonts w:hint="eastAsia" w:ascii="宋体" w:hAnsi="宋体"/>
                <w:szCs w:val="21"/>
              </w:rPr>
              <w:t>方案基本完整、培训时长较饱和、内容较丰富，得</w:t>
            </w:r>
            <w:r>
              <w:rPr>
                <w:rFonts w:hint="eastAsia" w:ascii="宋体" w:hAnsi="宋体"/>
                <w:szCs w:val="21"/>
                <w:lang w:val="en-US" w:eastAsia="zh-CN"/>
              </w:rPr>
              <w:t>4</w:t>
            </w:r>
            <w:r>
              <w:rPr>
                <w:rFonts w:hint="eastAsia" w:ascii="宋体" w:hAnsi="宋体"/>
                <w:szCs w:val="21"/>
              </w:rPr>
              <w:t>分；</w:t>
            </w:r>
          </w:p>
          <w:p w14:paraId="362C0ED3">
            <w:pPr>
              <w:jc w:val="left"/>
              <w:rPr>
                <w:rFonts w:ascii="宋体" w:hAnsi="宋体"/>
                <w:szCs w:val="21"/>
              </w:rPr>
            </w:pPr>
            <w:r>
              <w:rPr>
                <w:rFonts w:hint="eastAsia" w:ascii="宋体" w:hAnsi="宋体"/>
                <w:szCs w:val="21"/>
              </w:rPr>
              <w:t>方案简略、培训时长和内容有待完善，得1分；</w:t>
            </w:r>
          </w:p>
          <w:p w14:paraId="534175EA">
            <w:pPr>
              <w:jc w:val="left"/>
              <w:rPr>
                <w:rFonts w:ascii="宋体" w:hAnsi="宋体"/>
                <w:szCs w:val="21"/>
              </w:rPr>
            </w:pPr>
            <w:r>
              <w:rPr>
                <w:rFonts w:hint="eastAsia" w:ascii="宋体" w:hAnsi="宋体"/>
                <w:szCs w:val="21"/>
              </w:rPr>
              <w:t>不能满足本项目要求或未提供的不得分。</w:t>
            </w:r>
          </w:p>
        </w:tc>
        <w:tc>
          <w:tcPr>
            <w:tcW w:w="281" w:type="pct"/>
            <w:tcBorders>
              <w:top w:val="single" w:color="auto" w:sz="4" w:space="0"/>
              <w:left w:val="single" w:color="auto" w:sz="4" w:space="0"/>
              <w:bottom w:val="single" w:color="auto" w:sz="4" w:space="0"/>
              <w:right w:val="single" w:color="auto" w:sz="4" w:space="0"/>
            </w:tcBorders>
            <w:vAlign w:val="center"/>
          </w:tcPr>
          <w:p w14:paraId="115573DE">
            <w:pPr>
              <w:widowControl/>
              <w:jc w:val="center"/>
              <w:rPr>
                <w:rFonts w:ascii="宋体" w:hAnsi="宋体"/>
              </w:rPr>
            </w:pPr>
            <w:r>
              <w:rPr>
                <w:rFonts w:hint="eastAsia" w:ascii="宋体" w:hAnsi="宋体"/>
              </w:rPr>
              <w:t>7</w:t>
            </w:r>
          </w:p>
        </w:tc>
      </w:tr>
      <w:tr w14:paraId="2F4743FB">
        <w:tblPrEx>
          <w:tblCellMar>
            <w:top w:w="0" w:type="dxa"/>
            <w:left w:w="108" w:type="dxa"/>
            <w:bottom w:w="0" w:type="dxa"/>
            <w:right w:w="108" w:type="dxa"/>
          </w:tblCellMar>
        </w:tblPrEx>
        <w:trPr>
          <w:trHeight w:val="416" w:hRule="atLeast"/>
          <w:jc w:val="center"/>
        </w:trPr>
        <w:tc>
          <w:tcPr>
            <w:tcW w:w="231" w:type="pct"/>
            <w:tcBorders>
              <w:top w:val="single" w:color="auto" w:sz="4" w:space="0"/>
              <w:left w:val="single" w:color="auto" w:sz="4" w:space="0"/>
              <w:bottom w:val="single" w:color="auto" w:sz="4" w:space="0"/>
              <w:right w:val="single" w:color="auto" w:sz="4" w:space="0"/>
            </w:tcBorders>
            <w:vAlign w:val="center"/>
          </w:tcPr>
          <w:p w14:paraId="4DDAB18E">
            <w:pPr>
              <w:widowControl/>
              <w:jc w:val="center"/>
              <w:rPr>
                <w:rFonts w:ascii="宋体" w:hAnsi="宋体" w:cs="宋体"/>
              </w:rPr>
            </w:pPr>
            <w:r>
              <w:rPr>
                <w:rFonts w:hint="eastAsia" w:ascii="宋体" w:hAnsi="宋体" w:cs="宋体"/>
              </w:rPr>
              <w:t>7</w:t>
            </w:r>
          </w:p>
        </w:tc>
        <w:tc>
          <w:tcPr>
            <w:tcW w:w="553" w:type="pct"/>
            <w:tcBorders>
              <w:top w:val="single" w:color="auto" w:sz="4" w:space="0"/>
              <w:left w:val="single" w:color="auto" w:sz="4" w:space="0"/>
              <w:bottom w:val="single" w:color="auto" w:sz="4" w:space="0"/>
              <w:right w:val="single" w:color="auto" w:sz="4" w:space="0"/>
            </w:tcBorders>
            <w:vAlign w:val="center"/>
          </w:tcPr>
          <w:p w14:paraId="59DA6488">
            <w:pPr>
              <w:adjustRightInd w:val="0"/>
              <w:snapToGrid w:val="0"/>
              <w:spacing w:line="360" w:lineRule="exact"/>
              <w:jc w:val="center"/>
              <w:rPr>
                <w:rFonts w:ascii="宋体" w:hAnsi="宋体"/>
                <w:bCs/>
                <w:szCs w:val="21"/>
              </w:rPr>
            </w:pPr>
            <w:r>
              <w:rPr>
                <w:rFonts w:hint="eastAsia" w:ascii="宋体" w:hAnsi="宋体"/>
                <w:bCs/>
                <w:szCs w:val="21"/>
              </w:rPr>
              <w:t>质保期</w:t>
            </w:r>
          </w:p>
          <w:p w14:paraId="2A4FAE58">
            <w:pPr>
              <w:adjustRightInd w:val="0"/>
              <w:snapToGrid w:val="0"/>
              <w:spacing w:line="360" w:lineRule="exact"/>
              <w:jc w:val="center"/>
              <w:rPr>
                <w:rFonts w:ascii="宋体" w:hAnsi="宋体"/>
                <w:highlight w:val="yellow"/>
              </w:rPr>
            </w:pPr>
          </w:p>
        </w:tc>
        <w:tc>
          <w:tcPr>
            <w:tcW w:w="3933" w:type="pct"/>
            <w:tcBorders>
              <w:top w:val="single" w:color="auto" w:sz="4" w:space="0"/>
              <w:left w:val="single" w:color="auto" w:sz="4" w:space="0"/>
              <w:bottom w:val="single" w:color="auto" w:sz="4" w:space="0"/>
              <w:right w:val="single" w:color="auto" w:sz="4" w:space="0"/>
            </w:tcBorders>
            <w:vAlign w:val="center"/>
          </w:tcPr>
          <w:p w14:paraId="4DE01FE3">
            <w:pPr>
              <w:adjustRightInd w:val="0"/>
              <w:snapToGrid w:val="0"/>
              <w:spacing w:line="360" w:lineRule="exact"/>
              <w:rPr>
                <w:rFonts w:ascii="宋体" w:hAnsi="宋体" w:cs="宋体"/>
                <w:szCs w:val="21"/>
              </w:rPr>
            </w:pPr>
            <w:r>
              <w:rPr>
                <w:rFonts w:hint="eastAsia" w:ascii="宋体" w:hAnsi="宋体" w:cs="宋体"/>
                <w:szCs w:val="21"/>
              </w:rPr>
              <w:t>在满足采购文件要求的免费质保（整机质保期3年，分子泵、传感器质保5年）的基础上，均每增加1年免费质保得1分，最多得5分。</w:t>
            </w:r>
            <w:r>
              <w:rPr>
                <w:rFonts w:hint="eastAsia" w:ascii="宋体" w:hAnsi="宋体"/>
                <w:szCs w:val="21"/>
              </w:rPr>
              <w:t>若响应文件中出现前后不一致的情况，以最低免费质保期作为评分依据</w:t>
            </w:r>
            <w:r>
              <w:rPr>
                <w:rFonts w:hint="eastAsia" w:ascii="宋体" w:hAnsi="宋体" w:cs="宋体"/>
                <w:szCs w:val="21"/>
              </w:rPr>
              <w:t>（提供质保承诺并加盖供应商公章，格式自拟）</w:t>
            </w:r>
          </w:p>
        </w:tc>
        <w:tc>
          <w:tcPr>
            <w:tcW w:w="281" w:type="pct"/>
            <w:tcBorders>
              <w:top w:val="single" w:color="auto" w:sz="4" w:space="0"/>
              <w:left w:val="single" w:color="auto" w:sz="4" w:space="0"/>
              <w:bottom w:val="single" w:color="auto" w:sz="4" w:space="0"/>
              <w:right w:val="single" w:color="auto" w:sz="4" w:space="0"/>
            </w:tcBorders>
            <w:vAlign w:val="center"/>
          </w:tcPr>
          <w:p w14:paraId="2A3430F7">
            <w:pPr>
              <w:widowControl/>
              <w:jc w:val="center"/>
              <w:rPr>
                <w:rFonts w:ascii="宋体" w:hAnsi="宋体"/>
              </w:rPr>
            </w:pPr>
            <w:r>
              <w:rPr>
                <w:rFonts w:hint="eastAsia" w:ascii="宋体" w:hAnsi="宋体"/>
              </w:rPr>
              <w:t>5</w:t>
            </w:r>
          </w:p>
        </w:tc>
      </w:tr>
      <w:tr w14:paraId="17708926">
        <w:tblPrEx>
          <w:tblCellMar>
            <w:top w:w="0" w:type="dxa"/>
            <w:left w:w="108" w:type="dxa"/>
            <w:bottom w:w="0" w:type="dxa"/>
            <w:right w:w="108" w:type="dxa"/>
          </w:tblCellMar>
        </w:tblPrEx>
        <w:trPr>
          <w:trHeight w:val="416" w:hRule="atLeast"/>
          <w:jc w:val="center"/>
        </w:trPr>
        <w:tc>
          <w:tcPr>
            <w:tcW w:w="231" w:type="pct"/>
            <w:tcBorders>
              <w:top w:val="single" w:color="auto" w:sz="4" w:space="0"/>
              <w:left w:val="single" w:color="auto" w:sz="4" w:space="0"/>
              <w:bottom w:val="single" w:color="auto" w:sz="4" w:space="0"/>
              <w:right w:val="single" w:color="auto" w:sz="4" w:space="0"/>
            </w:tcBorders>
            <w:vAlign w:val="center"/>
          </w:tcPr>
          <w:p w14:paraId="5C07BC43">
            <w:pPr>
              <w:widowControl/>
              <w:jc w:val="center"/>
              <w:rPr>
                <w:rFonts w:ascii="宋体" w:hAnsi="宋体" w:cs="宋体"/>
              </w:rPr>
            </w:pPr>
            <w:r>
              <w:rPr>
                <w:rFonts w:hint="eastAsia" w:ascii="宋体" w:hAnsi="宋体" w:cs="宋体"/>
              </w:rPr>
              <w:t>8</w:t>
            </w:r>
          </w:p>
        </w:tc>
        <w:tc>
          <w:tcPr>
            <w:tcW w:w="553" w:type="pct"/>
            <w:tcBorders>
              <w:top w:val="single" w:color="auto" w:sz="4" w:space="0"/>
              <w:left w:val="single" w:color="auto" w:sz="4" w:space="0"/>
              <w:bottom w:val="single" w:color="auto" w:sz="4" w:space="0"/>
              <w:right w:val="single" w:color="auto" w:sz="4" w:space="0"/>
            </w:tcBorders>
            <w:vAlign w:val="center"/>
          </w:tcPr>
          <w:p w14:paraId="2FCE4C81">
            <w:pPr>
              <w:adjustRightInd w:val="0"/>
              <w:snapToGrid w:val="0"/>
              <w:spacing w:line="360" w:lineRule="exact"/>
              <w:jc w:val="center"/>
              <w:rPr>
                <w:rFonts w:ascii="宋体" w:hAnsi="宋体"/>
              </w:rPr>
            </w:pPr>
            <w:r>
              <w:rPr>
                <w:rFonts w:hint="eastAsia" w:ascii="宋体" w:hAnsi="宋体"/>
              </w:rPr>
              <w:t>额外服务承诺</w:t>
            </w:r>
          </w:p>
        </w:tc>
        <w:tc>
          <w:tcPr>
            <w:tcW w:w="3933" w:type="pct"/>
            <w:tcBorders>
              <w:top w:val="single" w:color="auto" w:sz="4" w:space="0"/>
              <w:left w:val="single" w:color="auto" w:sz="4" w:space="0"/>
              <w:bottom w:val="single" w:color="auto" w:sz="4" w:space="0"/>
              <w:right w:val="single" w:color="auto" w:sz="4" w:space="0"/>
            </w:tcBorders>
            <w:vAlign w:val="center"/>
          </w:tcPr>
          <w:p w14:paraId="1859B580">
            <w:pPr>
              <w:adjustRightInd w:val="0"/>
              <w:snapToGrid w:val="0"/>
              <w:spacing w:line="360" w:lineRule="exact"/>
              <w:rPr>
                <w:rFonts w:ascii="宋体" w:hAnsi="宋体" w:cs="宋体"/>
                <w:szCs w:val="21"/>
              </w:rPr>
            </w:pPr>
            <w:r>
              <w:rPr>
                <w:rFonts w:hint="eastAsia" w:ascii="宋体" w:hAnsi="宋体" w:cs="宋体"/>
                <w:szCs w:val="21"/>
              </w:rPr>
              <w:t>在满足采购文件要求的质保期后</w:t>
            </w:r>
            <w:r>
              <w:rPr>
                <w:rFonts w:hint="eastAsia" w:ascii="宋体" w:hAnsi="宋体" w:cs="宋体"/>
                <w:szCs w:val="21"/>
                <w:lang w:val="zh-CN"/>
              </w:rPr>
              <w:t>赠送</w:t>
            </w:r>
            <w:r>
              <w:rPr>
                <w:rFonts w:hint="eastAsia" w:ascii="宋体" w:hAnsi="宋体" w:cs="宋体"/>
                <w:szCs w:val="21"/>
              </w:rPr>
              <w:t>六</w:t>
            </w:r>
            <w:r>
              <w:rPr>
                <w:rFonts w:hint="eastAsia" w:ascii="宋体" w:hAnsi="宋体" w:cs="宋体"/>
                <w:szCs w:val="21"/>
                <w:lang w:val="zh-CN"/>
              </w:rPr>
              <w:t>次工程师免费上门维修维护（耗材或配件另算）</w:t>
            </w:r>
            <w:r>
              <w:rPr>
                <w:rFonts w:hint="eastAsia" w:ascii="宋体" w:hAnsi="宋体" w:cs="宋体"/>
                <w:szCs w:val="21"/>
              </w:rPr>
              <w:t>，增加一次得0</w:t>
            </w:r>
            <w:r>
              <w:rPr>
                <w:rFonts w:ascii="宋体" w:hAnsi="宋体" w:cs="宋体"/>
                <w:szCs w:val="21"/>
              </w:rPr>
              <w:t>.5</w:t>
            </w:r>
            <w:r>
              <w:rPr>
                <w:rFonts w:hint="eastAsia" w:ascii="宋体" w:hAnsi="宋体" w:cs="宋体"/>
                <w:szCs w:val="21"/>
              </w:rPr>
              <w:t>分，最多3分。</w:t>
            </w:r>
            <w:r>
              <w:rPr>
                <w:rFonts w:hint="eastAsia" w:ascii="宋体" w:hAnsi="宋体"/>
                <w:szCs w:val="21"/>
              </w:rPr>
              <w:t>若响应文件中出现前后不一致的情况，以最低</w:t>
            </w:r>
            <w:r>
              <w:rPr>
                <w:rFonts w:hint="eastAsia" w:ascii="宋体" w:hAnsi="宋体" w:cs="宋体"/>
                <w:szCs w:val="21"/>
              </w:rPr>
              <w:t>免费上门次数</w:t>
            </w:r>
            <w:r>
              <w:rPr>
                <w:rFonts w:hint="eastAsia" w:ascii="宋体" w:hAnsi="宋体"/>
                <w:szCs w:val="21"/>
              </w:rPr>
              <w:t>作为评分依据</w:t>
            </w:r>
            <w:r>
              <w:rPr>
                <w:rFonts w:hint="eastAsia" w:ascii="宋体" w:hAnsi="宋体" w:cs="宋体"/>
                <w:szCs w:val="21"/>
              </w:rPr>
              <w:t>（提供</w:t>
            </w:r>
            <w:r>
              <w:rPr>
                <w:rFonts w:hint="eastAsia" w:ascii="宋体" w:hAnsi="宋体"/>
              </w:rPr>
              <w:t>额外服务承诺</w:t>
            </w:r>
            <w:r>
              <w:rPr>
                <w:rFonts w:hint="eastAsia" w:ascii="宋体" w:hAnsi="宋体" w:cs="宋体"/>
                <w:szCs w:val="21"/>
              </w:rPr>
              <w:t>并加盖供应商公章，格式自拟）</w:t>
            </w:r>
          </w:p>
        </w:tc>
        <w:tc>
          <w:tcPr>
            <w:tcW w:w="281" w:type="pct"/>
            <w:tcBorders>
              <w:top w:val="single" w:color="auto" w:sz="4" w:space="0"/>
              <w:left w:val="single" w:color="auto" w:sz="4" w:space="0"/>
              <w:bottom w:val="single" w:color="auto" w:sz="4" w:space="0"/>
              <w:right w:val="single" w:color="auto" w:sz="4" w:space="0"/>
            </w:tcBorders>
            <w:vAlign w:val="center"/>
          </w:tcPr>
          <w:p w14:paraId="4494B1A9">
            <w:pPr>
              <w:widowControl/>
              <w:jc w:val="center"/>
              <w:rPr>
                <w:rFonts w:ascii="宋体" w:hAnsi="宋体"/>
              </w:rPr>
            </w:pPr>
            <w:r>
              <w:rPr>
                <w:rFonts w:hint="eastAsia" w:ascii="宋体" w:hAnsi="宋体"/>
              </w:rPr>
              <w:t>3</w:t>
            </w:r>
          </w:p>
        </w:tc>
      </w:tr>
      <w:tr w14:paraId="0F122407">
        <w:tblPrEx>
          <w:tblCellMar>
            <w:top w:w="0" w:type="dxa"/>
            <w:left w:w="108" w:type="dxa"/>
            <w:bottom w:w="0" w:type="dxa"/>
            <w:right w:w="108" w:type="dxa"/>
          </w:tblCellMar>
        </w:tblPrEx>
        <w:trPr>
          <w:trHeight w:val="342" w:hRule="atLeast"/>
          <w:jc w:val="center"/>
        </w:trPr>
        <w:tc>
          <w:tcPr>
            <w:tcW w:w="231" w:type="pct"/>
            <w:tcBorders>
              <w:top w:val="single" w:color="auto" w:sz="4" w:space="0"/>
              <w:left w:val="single" w:color="auto" w:sz="4" w:space="0"/>
              <w:bottom w:val="single" w:color="auto" w:sz="4" w:space="0"/>
              <w:right w:val="single" w:color="auto" w:sz="4" w:space="0"/>
            </w:tcBorders>
            <w:vAlign w:val="center"/>
          </w:tcPr>
          <w:p w14:paraId="534A27BB">
            <w:pPr>
              <w:widowControl/>
              <w:jc w:val="center"/>
              <w:rPr>
                <w:rFonts w:ascii="宋体" w:hAnsi="宋体" w:cs="宋体"/>
              </w:rPr>
            </w:pPr>
            <w:r>
              <w:rPr>
                <w:rFonts w:hint="eastAsia" w:ascii="宋体" w:hAnsi="宋体" w:cs="宋体"/>
              </w:rPr>
              <w:t>9</w:t>
            </w:r>
          </w:p>
        </w:tc>
        <w:tc>
          <w:tcPr>
            <w:tcW w:w="553" w:type="pct"/>
            <w:tcBorders>
              <w:top w:val="single" w:color="auto" w:sz="4" w:space="0"/>
              <w:left w:val="single" w:color="auto" w:sz="4" w:space="0"/>
              <w:bottom w:val="single" w:color="auto" w:sz="4" w:space="0"/>
              <w:right w:val="single" w:color="auto" w:sz="4" w:space="0"/>
            </w:tcBorders>
            <w:vAlign w:val="center"/>
          </w:tcPr>
          <w:p w14:paraId="5EE32239">
            <w:pPr>
              <w:adjustRightInd w:val="0"/>
              <w:snapToGrid w:val="0"/>
              <w:spacing w:line="360" w:lineRule="exact"/>
              <w:jc w:val="center"/>
              <w:rPr>
                <w:rFonts w:ascii="宋体" w:hAnsi="宋体"/>
                <w:szCs w:val="21"/>
              </w:rPr>
            </w:pPr>
            <w:r>
              <w:rPr>
                <w:rFonts w:hint="eastAsia" w:ascii="宋体" w:hAnsi="宋体"/>
                <w:szCs w:val="21"/>
              </w:rPr>
              <w:t>业绩</w:t>
            </w:r>
          </w:p>
          <w:p w14:paraId="4AA4D71F">
            <w:pPr>
              <w:adjustRightInd w:val="0"/>
              <w:snapToGrid w:val="0"/>
              <w:spacing w:line="360" w:lineRule="exact"/>
              <w:jc w:val="center"/>
              <w:rPr>
                <w:rFonts w:ascii="宋体" w:hAnsi="宋体"/>
                <w:highlight w:val="yellow"/>
              </w:rPr>
            </w:pPr>
          </w:p>
        </w:tc>
        <w:tc>
          <w:tcPr>
            <w:tcW w:w="3933" w:type="pct"/>
            <w:tcBorders>
              <w:top w:val="single" w:color="auto" w:sz="4" w:space="0"/>
              <w:left w:val="single" w:color="auto" w:sz="4" w:space="0"/>
              <w:bottom w:val="single" w:color="auto" w:sz="4" w:space="0"/>
              <w:right w:val="single" w:color="auto" w:sz="4" w:space="0"/>
            </w:tcBorders>
            <w:vAlign w:val="center"/>
          </w:tcPr>
          <w:p w14:paraId="30DDA81D">
            <w:pPr>
              <w:adjustRightInd w:val="0"/>
              <w:snapToGrid w:val="0"/>
              <w:spacing w:line="360" w:lineRule="exact"/>
              <w:rPr>
                <w:rFonts w:ascii="宋体" w:hAnsi="宋体" w:cs="宋体"/>
                <w:szCs w:val="21"/>
              </w:rPr>
            </w:pPr>
            <w:r>
              <w:rPr>
                <w:rFonts w:hint="eastAsia" w:ascii="宋体" w:hAnsi="宋体" w:cs="宋体"/>
                <w:szCs w:val="21"/>
              </w:rPr>
              <w:t>根据供应商或响应产品厂家自2023年7月1日以来（以合同签订时间为准）完成过同类产品（与所投标产品同品牌的类似产品）的销售业绩进行评分，每提供一个得1分，最高得5分。</w:t>
            </w:r>
          </w:p>
          <w:p w14:paraId="428730EF">
            <w:pPr>
              <w:adjustRightInd w:val="0"/>
              <w:snapToGrid w:val="0"/>
              <w:spacing w:line="360" w:lineRule="exact"/>
              <w:rPr>
                <w:rFonts w:ascii="宋体" w:hAnsi="宋体" w:cs="宋体"/>
                <w:szCs w:val="21"/>
              </w:rPr>
            </w:pPr>
            <w:r>
              <w:rPr>
                <w:rFonts w:hint="eastAsia" w:ascii="宋体" w:hAnsi="宋体" w:cs="宋体"/>
                <w:szCs w:val="21"/>
              </w:rPr>
              <w:t>（提供合同复印件及对应的验收合格证明材料并加盖供应商公章，合同需包括合同名称、项目内容、盖章、日期等关键内容。）（上述证明材料缺一不可，原件备查）</w:t>
            </w:r>
          </w:p>
        </w:tc>
        <w:tc>
          <w:tcPr>
            <w:tcW w:w="281" w:type="pct"/>
            <w:tcBorders>
              <w:top w:val="single" w:color="auto" w:sz="4" w:space="0"/>
              <w:left w:val="single" w:color="auto" w:sz="4" w:space="0"/>
              <w:bottom w:val="single" w:color="auto" w:sz="4" w:space="0"/>
              <w:right w:val="single" w:color="auto" w:sz="4" w:space="0"/>
            </w:tcBorders>
            <w:vAlign w:val="center"/>
          </w:tcPr>
          <w:p w14:paraId="576D16D7">
            <w:pPr>
              <w:widowControl/>
              <w:jc w:val="center"/>
              <w:rPr>
                <w:rFonts w:ascii="宋体" w:hAnsi="宋体"/>
              </w:rPr>
            </w:pPr>
            <w:r>
              <w:rPr>
                <w:rFonts w:hint="eastAsia" w:ascii="宋体" w:hAnsi="宋体"/>
              </w:rPr>
              <w:t>5</w:t>
            </w:r>
          </w:p>
        </w:tc>
      </w:tr>
      <w:bookmarkEnd w:id="6"/>
    </w:tbl>
    <w:p w14:paraId="45FCE5ED">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120D9695">
      <w:pPr>
        <w:pStyle w:val="267"/>
        <w:numPr>
          <w:ilvl w:val="0"/>
          <w:numId w:val="53"/>
        </w:num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采购需求</w:t>
      </w:r>
    </w:p>
    <w:p w14:paraId="2E5691AB">
      <w:pPr>
        <w:numPr>
          <w:ilvl w:val="0"/>
          <w:numId w:val="54"/>
        </w:numPr>
        <w:adjustRightInd w:val="0"/>
        <w:snapToGrid w:val="0"/>
        <w:spacing w:line="360" w:lineRule="auto"/>
        <w:outlineLvl w:val="2"/>
        <w:rPr>
          <w:b/>
          <w:sz w:val="28"/>
          <w:szCs w:val="28"/>
          <w:lang w:val="zh-CN"/>
        </w:rPr>
      </w:pPr>
      <w:bookmarkStart w:id="7" w:name="_Toc203665812"/>
      <w:r>
        <w:rPr>
          <w:rFonts w:hint="eastAsia"/>
          <w:b/>
          <w:sz w:val="28"/>
          <w:szCs w:val="28"/>
          <w:lang w:val="zh-CN"/>
        </w:rPr>
        <w:t>总则</w:t>
      </w:r>
      <w:bookmarkEnd w:id="7"/>
    </w:p>
    <w:p w14:paraId="4A1F2829">
      <w:pPr>
        <w:pStyle w:val="3"/>
        <w:numPr>
          <w:ilvl w:val="2"/>
          <w:numId w:val="55"/>
        </w:numPr>
        <w:spacing w:line="360" w:lineRule="auto"/>
        <w:ind w:left="0" w:firstLine="480"/>
        <w:rPr>
          <w:sz w:val="24"/>
          <w:szCs w:val="24"/>
        </w:rPr>
      </w:pPr>
      <w:r>
        <w:rPr>
          <w:rFonts w:hint="eastAsia"/>
          <w:sz w:val="24"/>
          <w:szCs w:val="24"/>
        </w:rPr>
        <w:t>本货物需求及规格要求适用于本次采购项下所有货物的招标。</w:t>
      </w:r>
    </w:p>
    <w:p w14:paraId="28547AF9">
      <w:pPr>
        <w:pStyle w:val="3"/>
        <w:numPr>
          <w:ilvl w:val="2"/>
          <w:numId w:val="55"/>
        </w:numPr>
        <w:spacing w:line="360" w:lineRule="auto"/>
        <w:ind w:left="0" w:firstLine="480"/>
        <w:rPr>
          <w:sz w:val="24"/>
          <w:szCs w:val="24"/>
        </w:rPr>
      </w:pPr>
      <w:r>
        <w:rPr>
          <w:rFonts w:hint="eastAsia"/>
          <w:sz w:val="24"/>
          <w:szCs w:val="24"/>
        </w:rPr>
        <w:t>标注带“★”的为关键性要求，供应商必须逐条响应，如出现任何负偏离或不满足将视为无效响应。</w:t>
      </w:r>
    </w:p>
    <w:p w14:paraId="4BFE6046">
      <w:pPr>
        <w:pStyle w:val="3"/>
        <w:numPr>
          <w:ilvl w:val="2"/>
          <w:numId w:val="55"/>
        </w:numPr>
        <w:spacing w:line="360" w:lineRule="auto"/>
        <w:ind w:left="0" w:firstLine="480"/>
        <w:rPr>
          <w:sz w:val="24"/>
          <w:szCs w:val="24"/>
        </w:rPr>
      </w:pPr>
      <w:r>
        <w:rPr>
          <w:rFonts w:hint="eastAsia"/>
          <w:sz w:val="24"/>
          <w:szCs w:val="24"/>
        </w:rPr>
        <w:t>标注带“▲”号的为重要技术参数，供应商必须逐条响应，如出现任何负偏离或不满足将影响评分。</w:t>
      </w:r>
    </w:p>
    <w:p w14:paraId="78C031A5">
      <w:pPr>
        <w:pStyle w:val="3"/>
        <w:numPr>
          <w:ilvl w:val="2"/>
          <w:numId w:val="55"/>
        </w:numPr>
        <w:spacing w:line="360" w:lineRule="auto"/>
        <w:ind w:left="0" w:firstLine="480"/>
        <w:rPr>
          <w:sz w:val="24"/>
          <w:szCs w:val="24"/>
        </w:rPr>
      </w:pPr>
      <w:r>
        <w:rPr>
          <w:rFonts w:hint="eastAsia"/>
          <w:sz w:val="24"/>
          <w:szCs w:val="24"/>
        </w:rPr>
        <w:t>供应商须对响应文件“采购需求”的内容(标“★”和“▲”项内容除外)作出响应，若出现负偏离或不满足将影响评分。</w:t>
      </w:r>
    </w:p>
    <w:p w14:paraId="003D8D71">
      <w:pPr>
        <w:pStyle w:val="3"/>
        <w:numPr>
          <w:ilvl w:val="2"/>
          <w:numId w:val="55"/>
        </w:numPr>
        <w:spacing w:line="360" w:lineRule="auto"/>
        <w:ind w:left="0" w:firstLine="442" w:firstLineChars="0"/>
        <w:rPr>
          <w:sz w:val="24"/>
          <w:szCs w:val="24"/>
        </w:rPr>
      </w:pPr>
      <w:r>
        <w:rPr>
          <w:rFonts w:hint="eastAsia"/>
          <w:sz w:val="24"/>
          <w:szCs w:val="24"/>
        </w:rPr>
        <w:t>本项目需求未尽事宜，由双方协商确定。</w:t>
      </w:r>
    </w:p>
    <w:p w14:paraId="5467DD53">
      <w:pPr>
        <w:numPr>
          <w:ilvl w:val="0"/>
          <w:numId w:val="54"/>
        </w:numPr>
        <w:adjustRightInd w:val="0"/>
        <w:snapToGrid w:val="0"/>
        <w:spacing w:line="360" w:lineRule="auto"/>
        <w:outlineLvl w:val="2"/>
        <w:rPr>
          <w:b/>
          <w:sz w:val="28"/>
          <w:szCs w:val="28"/>
          <w:lang w:val="zh-CN"/>
        </w:rPr>
      </w:pPr>
      <w:r>
        <w:rPr>
          <w:rFonts w:hint="eastAsia"/>
          <w:b/>
          <w:sz w:val="28"/>
          <w:szCs w:val="28"/>
          <w:lang w:val="zh-CN"/>
        </w:rPr>
        <w:t>项目需求</w:t>
      </w:r>
    </w:p>
    <w:p w14:paraId="2FA2989D">
      <w:pPr>
        <w:pStyle w:val="3"/>
        <w:spacing w:line="360" w:lineRule="auto"/>
        <w:ind w:firstLine="720" w:firstLineChars="300"/>
        <w:rPr>
          <w:sz w:val="24"/>
          <w:szCs w:val="24"/>
          <w:lang w:val="zh-CN"/>
        </w:rPr>
      </w:pPr>
      <w:r>
        <w:rPr>
          <w:rFonts w:hint="eastAsia"/>
          <w:sz w:val="24"/>
          <w:szCs w:val="24"/>
        </w:rPr>
        <w:t>本项目采购比表面积及孔径测试仪</w:t>
      </w:r>
      <w:r>
        <w:rPr>
          <w:rFonts w:hint="eastAsia"/>
          <w:sz w:val="24"/>
          <w:szCs w:val="24"/>
          <w:lang w:val="zh-CN"/>
        </w:rPr>
        <w:t>用于测定多孔材料和粉体材料的比表面积、孔径分布和孔体积。</w:t>
      </w:r>
      <w:r>
        <w:rPr>
          <w:rFonts w:hint="eastAsia"/>
          <w:sz w:val="24"/>
          <w:szCs w:val="24"/>
        </w:rPr>
        <w:t>此测试仪</w:t>
      </w:r>
      <w:r>
        <w:rPr>
          <w:rFonts w:hint="eastAsia"/>
          <w:sz w:val="24"/>
          <w:szCs w:val="24"/>
          <w:lang w:val="zh-CN"/>
        </w:rPr>
        <w:t>广泛应用于催化剂、电池电极材料、吸附剂(如活性炭、分子筛)、药物、金属有机框架(MOFs)等材料的研发与质量控制，是评估材料活性、吸附能力及储存性能的关键手段。</w:t>
      </w:r>
    </w:p>
    <w:p w14:paraId="0BC590A3">
      <w:pPr>
        <w:numPr>
          <w:ilvl w:val="0"/>
          <w:numId w:val="54"/>
        </w:numPr>
        <w:adjustRightInd w:val="0"/>
        <w:snapToGrid w:val="0"/>
        <w:spacing w:line="360" w:lineRule="auto"/>
        <w:outlineLvl w:val="2"/>
        <w:rPr>
          <w:b/>
          <w:sz w:val="28"/>
          <w:szCs w:val="28"/>
          <w:lang w:val="zh-CN"/>
        </w:rPr>
      </w:pPr>
      <w:r>
        <w:rPr>
          <w:rFonts w:hint="eastAsia"/>
          <w:b/>
          <w:sz w:val="28"/>
          <w:szCs w:val="28"/>
          <w:lang w:val="zh-CN"/>
        </w:rPr>
        <w:t>货物清单</w:t>
      </w:r>
    </w:p>
    <w:tbl>
      <w:tblPr>
        <w:tblStyle w:val="45"/>
        <w:tblW w:w="365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018"/>
        <w:gridCol w:w="2540"/>
        <w:gridCol w:w="586"/>
        <w:gridCol w:w="1498"/>
        <w:gridCol w:w="1429"/>
      </w:tblGrid>
      <w:tr w14:paraId="6B3C81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0" w:type="pct"/>
            <w:vAlign w:val="center"/>
          </w:tcPr>
          <w:p w14:paraId="354A6946">
            <w:pPr>
              <w:widowControl/>
              <w:jc w:val="center"/>
              <w:rPr>
                <w:rFonts w:ascii="宋体" w:hAnsi="宋体" w:cs="宋体"/>
                <w:b/>
                <w:bCs/>
                <w:sz w:val="24"/>
                <w:szCs w:val="24"/>
                <w:lang w:bidi="ar"/>
              </w:rPr>
            </w:pPr>
            <w:r>
              <w:rPr>
                <w:rFonts w:hint="eastAsia" w:ascii="宋体" w:hAnsi="宋体" w:cs="宋体"/>
                <w:b/>
                <w:bCs/>
                <w:sz w:val="24"/>
                <w:szCs w:val="24"/>
                <w:lang w:bidi="ar"/>
              </w:rPr>
              <w:t>序号</w:t>
            </w:r>
          </w:p>
        </w:tc>
        <w:tc>
          <w:tcPr>
            <w:tcW w:w="1795" w:type="pct"/>
            <w:vAlign w:val="center"/>
          </w:tcPr>
          <w:p w14:paraId="02B574C8">
            <w:pPr>
              <w:widowControl/>
              <w:jc w:val="center"/>
              <w:rPr>
                <w:rFonts w:ascii="宋体" w:hAnsi="宋体" w:cs="宋体"/>
                <w:b/>
                <w:bCs/>
                <w:sz w:val="24"/>
                <w:szCs w:val="24"/>
                <w:lang w:bidi="ar"/>
              </w:rPr>
            </w:pPr>
            <w:r>
              <w:rPr>
                <w:rFonts w:hint="eastAsia" w:ascii="宋体" w:hAnsi="宋体" w:cs="宋体"/>
                <w:b/>
                <w:bCs/>
                <w:sz w:val="24"/>
                <w:szCs w:val="24"/>
                <w:lang w:bidi="ar"/>
              </w:rPr>
              <w:t>产品</w:t>
            </w:r>
          </w:p>
        </w:tc>
        <w:tc>
          <w:tcPr>
            <w:tcW w:w="414" w:type="pct"/>
            <w:vAlign w:val="center"/>
          </w:tcPr>
          <w:p w14:paraId="064DC1AD">
            <w:pPr>
              <w:widowControl/>
              <w:jc w:val="center"/>
              <w:rPr>
                <w:rFonts w:ascii="宋体" w:hAnsi="宋体" w:cs="宋体"/>
                <w:b/>
                <w:bCs/>
                <w:sz w:val="24"/>
                <w:szCs w:val="24"/>
                <w:lang w:bidi="ar"/>
              </w:rPr>
            </w:pPr>
            <w:r>
              <w:rPr>
                <w:rFonts w:hint="eastAsia" w:ascii="宋体" w:hAnsi="宋体" w:cs="宋体"/>
                <w:b/>
                <w:bCs/>
                <w:sz w:val="24"/>
                <w:szCs w:val="24"/>
                <w:lang w:bidi="ar"/>
              </w:rPr>
              <w:t>数量</w:t>
            </w:r>
          </w:p>
        </w:tc>
        <w:tc>
          <w:tcPr>
            <w:tcW w:w="1059" w:type="pct"/>
            <w:vAlign w:val="center"/>
          </w:tcPr>
          <w:p w14:paraId="700BB2FC">
            <w:pPr>
              <w:widowControl/>
              <w:jc w:val="center"/>
              <w:rPr>
                <w:rFonts w:ascii="宋体" w:hAnsi="宋体" w:cs="宋体"/>
                <w:b/>
                <w:bCs/>
                <w:sz w:val="24"/>
                <w:szCs w:val="24"/>
                <w:lang w:bidi="ar"/>
              </w:rPr>
            </w:pPr>
            <w:r>
              <w:rPr>
                <w:rFonts w:hint="eastAsia" w:ascii="宋体" w:hAnsi="宋体" w:cs="宋体"/>
                <w:b/>
                <w:bCs/>
                <w:sz w:val="24"/>
                <w:szCs w:val="24"/>
                <w:lang w:bidi="ar"/>
              </w:rPr>
              <w:t>是否核心产品</w:t>
            </w:r>
          </w:p>
        </w:tc>
        <w:tc>
          <w:tcPr>
            <w:tcW w:w="1010" w:type="pct"/>
            <w:vAlign w:val="center"/>
          </w:tcPr>
          <w:p w14:paraId="0BDE53AB">
            <w:pPr>
              <w:widowControl/>
              <w:jc w:val="center"/>
              <w:rPr>
                <w:rFonts w:ascii="宋体" w:hAnsi="宋体" w:cs="宋体"/>
                <w:b/>
                <w:bCs/>
                <w:sz w:val="24"/>
                <w:szCs w:val="24"/>
                <w:lang w:bidi="ar"/>
              </w:rPr>
            </w:pPr>
            <w:r>
              <w:rPr>
                <w:rFonts w:hint="eastAsia" w:ascii="宋体" w:hAnsi="宋体" w:cs="宋体"/>
                <w:b/>
                <w:bCs/>
                <w:sz w:val="24"/>
                <w:szCs w:val="24"/>
                <w:lang w:bidi="ar"/>
              </w:rPr>
              <w:t>总价预算（万元）</w:t>
            </w:r>
          </w:p>
        </w:tc>
      </w:tr>
      <w:tr w14:paraId="2E8B0E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0" w:type="pct"/>
            <w:vAlign w:val="center"/>
          </w:tcPr>
          <w:p w14:paraId="0B40855C">
            <w:pPr>
              <w:widowControl/>
              <w:jc w:val="center"/>
              <w:rPr>
                <w:rFonts w:ascii="宋体" w:hAnsi="宋体" w:cs="宋体"/>
                <w:sz w:val="24"/>
                <w:szCs w:val="24"/>
                <w:lang w:bidi="ar"/>
              </w:rPr>
            </w:pPr>
            <w:r>
              <w:rPr>
                <w:rFonts w:hint="eastAsia" w:ascii="宋体" w:hAnsi="宋体" w:cs="宋体"/>
                <w:sz w:val="24"/>
                <w:szCs w:val="24"/>
                <w:lang w:bidi="ar"/>
              </w:rPr>
              <w:t>1</w:t>
            </w:r>
          </w:p>
        </w:tc>
        <w:tc>
          <w:tcPr>
            <w:tcW w:w="1795" w:type="pct"/>
            <w:vAlign w:val="center"/>
          </w:tcPr>
          <w:p w14:paraId="4548D218">
            <w:pPr>
              <w:widowControl/>
              <w:jc w:val="center"/>
              <w:rPr>
                <w:rFonts w:ascii="宋体" w:hAnsi="宋体" w:cs="宋体"/>
                <w:sz w:val="24"/>
                <w:szCs w:val="24"/>
                <w:lang w:bidi="ar"/>
              </w:rPr>
            </w:pPr>
            <w:r>
              <w:rPr>
                <w:rFonts w:hint="eastAsia" w:ascii="宋体" w:hAnsi="宋体" w:cs="宋体"/>
                <w:sz w:val="24"/>
                <w:szCs w:val="24"/>
                <w:lang w:bidi="ar"/>
              </w:rPr>
              <w:t>比表面积及孔径测试仪</w:t>
            </w:r>
          </w:p>
        </w:tc>
        <w:tc>
          <w:tcPr>
            <w:tcW w:w="414" w:type="pct"/>
            <w:vAlign w:val="center"/>
          </w:tcPr>
          <w:p w14:paraId="15B0BAFD">
            <w:pPr>
              <w:widowControl/>
              <w:jc w:val="center"/>
              <w:rPr>
                <w:rFonts w:ascii="宋体" w:hAnsi="宋体" w:cs="宋体"/>
                <w:sz w:val="24"/>
                <w:szCs w:val="24"/>
                <w:lang w:bidi="ar"/>
              </w:rPr>
            </w:pPr>
            <w:r>
              <w:rPr>
                <w:rFonts w:hint="eastAsia" w:ascii="宋体" w:hAnsi="宋体" w:cs="宋体"/>
                <w:sz w:val="24"/>
                <w:szCs w:val="24"/>
                <w:lang w:bidi="ar"/>
              </w:rPr>
              <w:t>1套</w:t>
            </w:r>
          </w:p>
        </w:tc>
        <w:tc>
          <w:tcPr>
            <w:tcW w:w="1059" w:type="pct"/>
            <w:vAlign w:val="center"/>
          </w:tcPr>
          <w:p w14:paraId="38022E56">
            <w:pPr>
              <w:widowControl/>
              <w:jc w:val="center"/>
              <w:rPr>
                <w:rFonts w:ascii="宋体" w:hAnsi="宋体" w:cs="宋体"/>
                <w:sz w:val="24"/>
                <w:szCs w:val="24"/>
                <w:lang w:bidi="ar"/>
              </w:rPr>
            </w:pPr>
            <w:r>
              <w:rPr>
                <w:rFonts w:hint="eastAsia" w:ascii="宋体" w:hAnsi="宋体" w:cs="宋体"/>
                <w:sz w:val="24"/>
                <w:szCs w:val="24"/>
                <w:lang w:bidi="ar"/>
              </w:rPr>
              <w:t>是</w:t>
            </w:r>
          </w:p>
        </w:tc>
        <w:tc>
          <w:tcPr>
            <w:tcW w:w="1010" w:type="pct"/>
            <w:vAlign w:val="center"/>
          </w:tcPr>
          <w:p w14:paraId="46B87C72">
            <w:pPr>
              <w:widowControl/>
              <w:jc w:val="center"/>
              <w:rPr>
                <w:rFonts w:ascii="宋体" w:hAnsi="宋体" w:cs="宋体"/>
                <w:sz w:val="24"/>
                <w:szCs w:val="24"/>
                <w:lang w:bidi="ar"/>
              </w:rPr>
            </w:pPr>
            <w:r>
              <w:rPr>
                <w:rFonts w:hint="eastAsia" w:ascii="宋体" w:hAnsi="宋体" w:cs="宋体"/>
                <w:sz w:val="24"/>
                <w:szCs w:val="24"/>
                <w:lang w:bidi="ar"/>
              </w:rPr>
              <w:t>4</w:t>
            </w:r>
            <w:r>
              <w:rPr>
                <w:rFonts w:ascii="宋体" w:hAnsi="宋体" w:cs="宋体"/>
                <w:sz w:val="24"/>
                <w:szCs w:val="24"/>
                <w:lang w:bidi="ar"/>
              </w:rPr>
              <w:t>0</w:t>
            </w:r>
          </w:p>
        </w:tc>
      </w:tr>
    </w:tbl>
    <w:p w14:paraId="27AA1DB2">
      <w:pPr>
        <w:pStyle w:val="29"/>
        <w:spacing w:line="360" w:lineRule="auto"/>
        <w:rPr>
          <w:sz w:val="24"/>
          <w:szCs w:val="24"/>
          <w:lang w:bidi="ar"/>
        </w:rPr>
      </w:pPr>
    </w:p>
    <w:p w14:paraId="44420C5B">
      <w:pPr>
        <w:numPr>
          <w:ilvl w:val="0"/>
          <w:numId w:val="54"/>
        </w:numPr>
        <w:adjustRightInd w:val="0"/>
        <w:snapToGrid w:val="0"/>
        <w:spacing w:after="240" w:afterLines="100" w:line="360" w:lineRule="auto"/>
        <w:outlineLvl w:val="2"/>
        <w:rPr>
          <w:b/>
          <w:sz w:val="28"/>
          <w:szCs w:val="28"/>
          <w:lang w:val="zh-CN"/>
        </w:rPr>
      </w:pPr>
      <w:r>
        <w:rPr>
          <w:rFonts w:hint="eastAsia"/>
          <w:b/>
          <w:sz w:val="28"/>
          <w:szCs w:val="28"/>
          <w:lang w:val="zh-CN"/>
        </w:rPr>
        <w:t>主要技术参数要求</w:t>
      </w:r>
    </w:p>
    <w:p w14:paraId="34E0DEF8">
      <w:pPr>
        <w:pStyle w:val="3"/>
        <w:numPr>
          <w:ilvl w:val="0"/>
          <w:numId w:val="56"/>
        </w:numPr>
        <w:spacing w:line="360" w:lineRule="auto"/>
        <w:ind w:firstLine="720" w:firstLineChars="300"/>
        <w:rPr>
          <w:sz w:val="24"/>
          <w:szCs w:val="24"/>
        </w:rPr>
      </w:pPr>
      <w:r>
        <w:rPr>
          <w:rFonts w:hint="eastAsia"/>
          <w:sz w:val="24"/>
          <w:szCs w:val="24"/>
        </w:rPr>
        <w:t>主要性能：</w:t>
      </w:r>
    </w:p>
    <w:p w14:paraId="31D696C1">
      <w:pPr>
        <w:pStyle w:val="3"/>
        <w:numPr>
          <w:ilvl w:val="0"/>
          <w:numId w:val="57"/>
        </w:numPr>
        <w:spacing w:line="360" w:lineRule="auto"/>
        <w:ind w:firstLine="638" w:firstLineChars="266"/>
        <w:rPr>
          <w:sz w:val="24"/>
          <w:szCs w:val="24"/>
        </w:rPr>
      </w:pPr>
      <w:r>
        <w:rPr>
          <w:rFonts w:hint="eastAsia"/>
          <w:sz w:val="24"/>
          <w:szCs w:val="24"/>
        </w:rPr>
        <w:t>▲支持全孔吸（脱）附等温线、微孔吸附等温线全自动测试（预处理+分析过程全自动）；（提供图片证明文件）</w:t>
      </w:r>
    </w:p>
    <w:p w14:paraId="1062289B">
      <w:pPr>
        <w:pStyle w:val="3"/>
        <w:numPr>
          <w:ilvl w:val="0"/>
          <w:numId w:val="57"/>
        </w:numPr>
        <w:spacing w:line="360" w:lineRule="auto"/>
        <w:ind w:firstLine="638" w:firstLineChars="266"/>
        <w:rPr>
          <w:sz w:val="24"/>
          <w:szCs w:val="24"/>
        </w:rPr>
      </w:pPr>
      <w:r>
        <w:rPr>
          <w:rFonts w:hint="eastAsia"/>
          <w:sz w:val="24"/>
          <w:szCs w:val="24"/>
        </w:rPr>
        <w:t>支持BET 比表面积（多点、单点）全自动测试（预处理+分析过程全自动）；</w:t>
      </w:r>
    </w:p>
    <w:p w14:paraId="20BC8885">
      <w:pPr>
        <w:pStyle w:val="3"/>
        <w:numPr>
          <w:ilvl w:val="0"/>
          <w:numId w:val="57"/>
        </w:numPr>
        <w:spacing w:line="360" w:lineRule="auto"/>
        <w:ind w:firstLine="638" w:firstLineChars="266"/>
        <w:rPr>
          <w:sz w:val="24"/>
          <w:szCs w:val="24"/>
        </w:rPr>
      </w:pPr>
      <w:r>
        <w:rPr>
          <w:rFonts w:hint="eastAsia"/>
          <w:sz w:val="24"/>
          <w:szCs w:val="24"/>
        </w:rPr>
        <w:t>支持平均孔径、孔容积、孔面积测定；</w:t>
      </w:r>
    </w:p>
    <w:p w14:paraId="7BCE115B">
      <w:pPr>
        <w:pStyle w:val="3"/>
        <w:numPr>
          <w:ilvl w:val="0"/>
          <w:numId w:val="57"/>
        </w:numPr>
        <w:spacing w:line="360" w:lineRule="auto"/>
        <w:ind w:firstLine="638" w:firstLineChars="266"/>
        <w:rPr>
          <w:sz w:val="24"/>
          <w:szCs w:val="24"/>
        </w:rPr>
      </w:pPr>
      <w:r>
        <w:rPr>
          <w:rFonts w:hint="eastAsia"/>
          <w:sz w:val="24"/>
          <w:szCs w:val="24"/>
        </w:rPr>
        <w:t>支持Langmuir比表面积分析；</w:t>
      </w:r>
    </w:p>
    <w:p w14:paraId="2B7CD55C">
      <w:pPr>
        <w:pStyle w:val="3"/>
        <w:numPr>
          <w:ilvl w:val="0"/>
          <w:numId w:val="57"/>
        </w:numPr>
        <w:spacing w:line="360" w:lineRule="auto"/>
        <w:ind w:firstLine="638" w:firstLineChars="266"/>
        <w:rPr>
          <w:sz w:val="24"/>
          <w:szCs w:val="24"/>
        </w:rPr>
      </w:pPr>
      <w:r>
        <w:rPr>
          <w:rFonts w:hint="eastAsia"/>
          <w:sz w:val="24"/>
          <w:szCs w:val="24"/>
        </w:rPr>
        <w:t>支持t-plot法微孔总孔体积、内表面积测定、外表面积（STSA）测定；</w:t>
      </w:r>
    </w:p>
    <w:p w14:paraId="6F11E34A">
      <w:pPr>
        <w:pStyle w:val="3"/>
        <w:numPr>
          <w:ilvl w:val="0"/>
          <w:numId w:val="57"/>
        </w:numPr>
        <w:spacing w:line="360" w:lineRule="auto"/>
        <w:ind w:firstLine="638" w:firstLineChars="266"/>
        <w:rPr>
          <w:sz w:val="24"/>
          <w:szCs w:val="24"/>
        </w:rPr>
      </w:pPr>
      <w:r>
        <w:rPr>
          <w:rFonts w:hint="eastAsia"/>
          <w:sz w:val="24"/>
          <w:szCs w:val="24"/>
        </w:rPr>
        <w:t>支持DR法、MP法微孔分析；</w:t>
      </w:r>
    </w:p>
    <w:p w14:paraId="1C4988EB">
      <w:pPr>
        <w:pStyle w:val="3"/>
        <w:numPr>
          <w:ilvl w:val="0"/>
          <w:numId w:val="57"/>
        </w:numPr>
        <w:spacing w:line="360" w:lineRule="auto"/>
        <w:ind w:firstLine="638" w:firstLineChars="266"/>
        <w:rPr>
          <w:sz w:val="24"/>
          <w:szCs w:val="24"/>
        </w:rPr>
      </w:pPr>
      <w:r>
        <w:rPr>
          <w:rFonts w:hint="eastAsia"/>
          <w:sz w:val="24"/>
          <w:szCs w:val="24"/>
        </w:rPr>
        <w:t>支持BJH介孔大孔孔容积及孔径分布分析；</w:t>
      </w:r>
    </w:p>
    <w:p w14:paraId="4C165CBD">
      <w:pPr>
        <w:pStyle w:val="3"/>
        <w:numPr>
          <w:ilvl w:val="0"/>
          <w:numId w:val="57"/>
        </w:numPr>
        <w:spacing w:line="360" w:lineRule="auto"/>
        <w:ind w:firstLine="638" w:firstLineChars="266"/>
        <w:rPr>
          <w:sz w:val="24"/>
          <w:szCs w:val="24"/>
        </w:rPr>
      </w:pPr>
      <w:r>
        <w:rPr>
          <w:rFonts w:hint="eastAsia"/>
          <w:sz w:val="24"/>
          <w:szCs w:val="24"/>
        </w:rPr>
        <w:t>▲支持至少包含HK法、SF法微孔分布分析，HK/SF分析模型等10种分析方法（提供软件截图）；</w:t>
      </w:r>
    </w:p>
    <w:p w14:paraId="10F08F70">
      <w:pPr>
        <w:pStyle w:val="3"/>
        <w:numPr>
          <w:ilvl w:val="0"/>
          <w:numId w:val="57"/>
        </w:numPr>
        <w:spacing w:line="360" w:lineRule="auto"/>
        <w:ind w:firstLine="638" w:firstLineChars="266"/>
        <w:rPr>
          <w:sz w:val="24"/>
          <w:szCs w:val="24"/>
        </w:rPr>
      </w:pPr>
      <w:r>
        <w:rPr>
          <w:rFonts w:hint="eastAsia"/>
          <w:sz w:val="24"/>
          <w:szCs w:val="24"/>
        </w:rPr>
        <w:t>支持NLDFT法微孔和介孔分布分析；</w:t>
      </w:r>
    </w:p>
    <w:p w14:paraId="77BB67D1">
      <w:pPr>
        <w:pStyle w:val="3"/>
        <w:numPr>
          <w:ilvl w:val="0"/>
          <w:numId w:val="57"/>
        </w:numPr>
        <w:spacing w:line="360" w:lineRule="auto"/>
        <w:ind w:firstLine="638" w:firstLineChars="266"/>
        <w:rPr>
          <w:sz w:val="24"/>
          <w:szCs w:val="24"/>
        </w:rPr>
      </w:pPr>
      <w:r>
        <w:rPr>
          <w:rFonts w:hint="eastAsia"/>
          <w:sz w:val="24"/>
          <w:szCs w:val="24"/>
        </w:rPr>
        <w:t>支持吸附动力学分析；</w:t>
      </w:r>
    </w:p>
    <w:p w14:paraId="6B8ABC9A">
      <w:pPr>
        <w:pStyle w:val="3"/>
        <w:numPr>
          <w:ilvl w:val="0"/>
          <w:numId w:val="57"/>
        </w:numPr>
        <w:spacing w:line="360" w:lineRule="auto"/>
        <w:ind w:firstLine="638" w:firstLineChars="266"/>
        <w:rPr>
          <w:sz w:val="24"/>
          <w:szCs w:val="24"/>
        </w:rPr>
      </w:pPr>
      <w:r>
        <w:rPr>
          <w:rFonts w:hint="eastAsia"/>
          <w:sz w:val="24"/>
          <w:szCs w:val="24"/>
        </w:rPr>
        <w:t>支持等量吸附热分析；</w:t>
      </w:r>
    </w:p>
    <w:p w14:paraId="44724D91">
      <w:pPr>
        <w:pStyle w:val="3"/>
        <w:numPr>
          <w:ilvl w:val="0"/>
          <w:numId w:val="57"/>
        </w:numPr>
        <w:spacing w:line="360" w:lineRule="auto"/>
        <w:ind w:firstLine="638" w:firstLineChars="266"/>
        <w:rPr>
          <w:sz w:val="24"/>
          <w:szCs w:val="24"/>
        </w:rPr>
      </w:pPr>
      <w:r>
        <w:rPr>
          <w:rFonts w:hint="eastAsia"/>
          <w:sz w:val="24"/>
          <w:szCs w:val="24"/>
        </w:rPr>
        <w:t>支持粒度估算；</w:t>
      </w:r>
    </w:p>
    <w:p w14:paraId="7016839F">
      <w:pPr>
        <w:pStyle w:val="3"/>
        <w:numPr>
          <w:ilvl w:val="0"/>
          <w:numId w:val="57"/>
        </w:numPr>
        <w:spacing w:line="360" w:lineRule="auto"/>
        <w:ind w:firstLine="638" w:firstLineChars="266"/>
        <w:rPr>
          <w:sz w:val="24"/>
          <w:szCs w:val="24"/>
        </w:rPr>
      </w:pPr>
      <w:r>
        <w:rPr>
          <w:rFonts w:hint="eastAsia"/>
          <w:sz w:val="24"/>
          <w:szCs w:val="24"/>
        </w:rPr>
        <w:t>支持微孔介孔体积占比分析；</w:t>
      </w:r>
    </w:p>
    <w:p w14:paraId="2AC463B3">
      <w:pPr>
        <w:pStyle w:val="3"/>
        <w:spacing w:line="360" w:lineRule="auto"/>
        <w:ind w:firstLine="720" w:firstLineChars="300"/>
        <w:rPr>
          <w:sz w:val="24"/>
          <w:szCs w:val="24"/>
        </w:rPr>
      </w:pPr>
      <w:r>
        <w:rPr>
          <w:rFonts w:hint="eastAsia"/>
          <w:sz w:val="24"/>
          <w:szCs w:val="24"/>
        </w:rPr>
        <w:t>★2、分析站：仪器不少于6个独立的分析站和预处理站，不少于2个P0站。可同时进行2种不同的吸附质气体的吸脱附实验，独立微孔分析站不少于6个；</w:t>
      </w:r>
    </w:p>
    <w:p w14:paraId="4B318419">
      <w:pPr>
        <w:pStyle w:val="3"/>
        <w:spacing w:line="360" w:lineRule="auto"/>
        <w:ind w:firstLine="720" w:firstLineChars="300"/>
        <w:rPr>
          <w:sz w:val="24"/>
          <w:szCs w:val="24"/>
        </w:rPr>
      </w:pPr>
      <w:r>
        <w:rPr>
          <w:rFonts w:hint="eastAsia"/>
          <w:sz w:val="24"/>
          <w:szCs w:val="24"/>
        </w:rPr>
        <w:t>3、脱气系统：支持不少于6站原位脱气，配备不少于2个独立加热炉，脱气温度范围：室温~ 400°C，控温精度：≤0.1°C，控温稳定性≤±1°C； 另外可选配不少于八站独立外置脱气机，脱气机配备独立机械泵，一体化触摸屏操作，脱气温度范围：室温~ 400°C，控温精度：≤0.1°C，控温稳定性≤±1°C；支持多段程序升温；</w:t>
      </w:r>
    </w:p>
    <w:p w14:paraId="45A58428">
      <w:pPr>
        <w:pStyle w:val="3"/>
        <w:spacing w:line="360" w:lineRule="auto"/>
        <w:ind w:firstLine="720" w:firstLineChars="300"/>
        <w:rPr>
          <w:sz w:val="24"/>
          <w:szCs w:val="24"/>
        </w:rPr>
      </w:pPr>
      <w:r>
        <w:rPr>
          <w:rFonts w:hint="eastAsia"/>
          <w:sz w:val="24"/>
          <w:szCs w:val="24"/>
        </w:rPr>
        <w:t>▲4、歧路：使用空气浴进行控温，控温温度45°C；控温精度：≤0.1°C，兼以外气室内部空间温度实时准确测定，并在软件控制界面实时显示，且实时纳入吸附量公式中（提供软件截图）；</w:t>
      </w:r>
    </w:p>
    <w:p w14:paraId="79CBBA89">
      <w:pPr>
        <w:pStyle w:val="3"/>
        <w:spacing w:line="360" w:lineRule="auto"/>
        <w:ind w:firstLine="720" w:firstLineChars="300"/>
        <w:rPr>
          <w:sz w:val="24"/>
          <w:szCs w:val="24"/>
        </w:rPr>
      </w:pPr>
      <w:r>
        <w:rPr>
          <w:rFonts w:hint="eastAsia"/>
          <w:sz w:val="24"/>
          <w:szCs w:val="24"/>
        </w:rPr>
        <w:t>★5、冷阱：不少于1个；</w:t>
      </w:r>
    </w:p>
    <w:p w14:paraId="17C008F7">
      <w:pPr>
        <w:pStyle w:val="3"/>
        <w:spacing w:line="360" w:lineRule="auto"/>
        <w:ind w:firstLine="720" w:firstLineChars="300"/>
        <w:rPr>
          <w:sz w:val="24"/>
          <w:szCs w:val="24"/>
        </w:rPr>
      </w:pPr>
      <w:r>
        <w:rPr>
          <w:rFonts w:hint="eastAsia"/>
          <w:sz w:val="24"/>
          <w:szCs w:val="24"/>
        </w:rPr>
        <w:t>6、P0站 ：配备不少于2个独立的P0站，每个P0站配置独立的压力传感器；</w:t>
      </w:r>
    </w:p>
    <w:p w14:paraId="3D24B47D">
      <w:pPr>
        <w:pStyle w:val="3"/>
        <w:spacing w:line="360" w:lineRule="auto"/>
        <w:ind w:firstLine="720" w:firstLineChars="300"/>
        <w:rPr>
          <w:sz w:val="24"/>
          <w:szCs w:val="24"/>
        </w:rPr>
      </w:pPr>
      <w:r>
        <w:rPr>
          <w:rFonts w:hint="eastAsia"/>
          <w:sz w:val="24"/>
          <w:szCs w:val="24"/>
        </w:rPr>
        <w:t>▲7、压力传感器：配备传感器数量不少于22个，每个分析站均配有1000 torr、10 torr和1 torr（或0.1 torr）三级压力传感器，压力传感器可软件调零（提供软件截图）；</w:t>
      </w:r>
    </w:p>
    <w:p w14:paraId="442CE133">
      <w:pPr>
        <w:pStyle w:val="3"/>
        <w:spacing w:line="360" w:lineRule="auto"/>
        <w:ind w:firstLine="720" w:firstLineChars="300"/>
        <w:rPr>
          <w:sz w:val="24"/>
          <w:szCs w:val="24"/>
        </w:rPr>
      </w:pPr>
      <w:r>
        <w:rPr>
          <w:rFonts w:hint="eastAsia"/>
          <w:sz w:val="24"/>
          <w:szCs w:val="24"/>
        </w:rPr>
        <w:t>8、真空系统： 仪器需配置1台机械真空泵，极限真空度≤0.3 Pa；1台进口分子泵，极限真空度≤1</w:t>
      </w:r>
      <w:r>
        <w:rPr>
          <w:sz w:val="24"/>
          <w:szCs w:val="24"/>
        </w:rPr>
        <w:t>0</w:t>
      </w:r>
      <w:r>
        <w:rPr>
          <w:sz w:val="24"/>
          <w:szCs w:val="24"/>
          <w:vertAlign w:val="superscript"/>
        </w:rPr>
        <w:t>-8</w:t>
      </w:r>
      <w:r>
        <w:rPr>
          <w:rFonts w:hint="eastAsia"/>
          <w:sz w:val="24"/>
          <w:szCs w:val="24"/>
        </w:rPr>
        <w:t>Pa；</w:t>
      </w:r>
    </w:p>
    <w:p w14:paraId="08C82770">
      <w:pPr>
        <w:pStyle w:val="3"/>
        <w:spacing w:line="360" w:lineRule="auto"/>
        <w:ind w:firstLine="720" w:firstLineChars="300"/>
        <w:rPr>
          <w:sz w:val="24"/>
          <w:szCs w:val="24"/>
        </w:rPr>
      </w:pPr>
      <w:r>
        <w:rPr>
          <w:rFonts w:hint="eastAsia"/>
          <w:sz w:val="24"/>
          <w:szCs w:val="24"/>
        </w:rPr>
        <w:t>▲9、样品管装卸：一键按钮气动锁紧样品管；</w:t>
      </w:r>
    </w:p>
    <w:p w14:paraId="019DB93A">
      <w:pPr>
        <w:pStyle w:val="3"/>
        <w:spacing w:line="360" w:lineRule="auto"/>
        <w:ind w:firstLine="720" w:firstLineChars="300"/>
        <w:rPr>
          <w:sz w:val="24"/>
          <w:szCs w:val="24"/>
        </w:rPr>
      </w:pPr>
      <w:r>
        <w:rPr>
          <w:rFonts w:hint="eastAsia"/>
          <w:sz w:val="24"/>
          <w:szCs w:val="24"/>
        </w:rPr>
        <w:t>▲10、样品管冷区、热区全区控温：未浸入液氮杯的直管和顶端接头部分需完全处于恒温阀箱区域，样品管完全不与外界环境接触，不受外界环境温度波动的影响；</w:t>
      </w:r>
    </w:p>
    <w:p w14:paraId="1AD788C4">
      <w:pPr>
        <w:pStyle w:val="3"/>
        <w:spacing w:line="360" w:lineRule="auto"/>
        <w:ind w:firstLine="720" w:firstLineChars="300"/>
        <w:rPr>
          <w:sz w:val="24"/>
          <w:szCs w:val="24"/>
        </w:rPr>
      </w:pPr>
      <w:r>
        <w:rPr>
          <w:rFonts w:hint="eastAsia"/>
          <w:sz w:val="24"/>
          <w:szCs w:val="24"/>
        </w:rPr>
        <w:t>▲11、</w:t>
      </w:r>
      <w:bookmarkStart w:id="8" w:name="OLE_LINK7"/>
      <w:r>
        <w:rPr>
          <w:rFonts w:hint="eastAsia"/>
          <w:sz w:val="24"/>
          <w:szCs w:val="24"/>
        </w:rPr>
        <w:t>BET比表面积自动选点功能，可以根据条件实现自动选取最佳P/P0范围，可以快速获得可靠的BET比表面积数据；具有Overlay功能，可以实现不同测试数据的比对，便于及时快速进行数据分析；</w:t>
      </w:r>
      <w:bookmarkEnd w:id="8"/>
    </w:p>
    <w:p w14:paraId="59A67E80">
      <w:pPr>
        <w:pStyle w:val="3"/>
        <w:spacing w:line="360" w:lineRule="auto"/>
        <w:ind w:firstLine="720" w:firstLineChars="300"/>
        <w:rPr>
          <w:rFonts w:ascii="宋体" w:hAnsi="宋体" w:cs="宋体"/>
          <w:sz w:val="24"/>
          <w:szCs w:val="24"/>
        </w:rPr>
      </w:pPr>
      <w:r>
        <w:rPr>
          <w:rFonts w:hint="eastAsia" w:ascii="宋体" w:hAnsi="宋体" w:cs="宋体"/>
          <w:sz w:val="24"/>
          <w:szCs w:val="24"/>
        </w:rPr>
        <w:t>注：</w:t>
      </w:r>
    </w:p>
    <w:p w14:paraId="634FDBC9">
      <w:pPr>
        <w:pStyle w:val="16"/>
        <w:pBdr>
          <w:top w:val="none" w:color="000000" w:sz="0" w:space="0"/>
          <w:left w:val="none" w:color="000000" w:sz="0" w:space="0"/>
          <w:right w:val="none" w:color="000000" w:sz="0" w:space="0"/>
        </w:pBdr>
        <w:wordWrap w:val="0"/>
        <w:spacing w:line="312" w:lineRule="auto"/>
        <w:ind w:firstLine="480" w:firstLineChars="200"/>
        <w:rPr>
          <w:rFonts w:ascii="宋体" w:hAnsi="宋体" w:cs="宋体"/>
          <w:sz w:val="24"/>
          <w:szCs w:val="24"/>
        </w:rPr>
      </w:pPr>
      <w:r>
        <w:rPr>
          <w:rFonts w:hint="eastAsia" w:ascii="宋体" w:hAnsi="宋体" w:cs="宋体"/>
          <w:sz w:val="24"/>
          <w:szCs w:val="24"/>
        </w:rPr>
        <w:t>1、凡标有最低一级序号的指标项即为一项技术条款，无论是否隶属于上一级编号；</w:t>
      </w:r>
    </w:p>
    <w:p w14:paraId="09AFAA1B">
      <w:pPr>
        <w:pStyle w:val="16"/>
        <w:widowControl/>
        <w:numPr>
          <w:ilvl w:val="255"/>
          <w:numId w:val="0"/>
        </w:numPr>
        <w:pBdr>
          <w:top w:val="none" w:color="000000" w:sz="0" w:space="0"/>
          <w:left w:val="none" w:color="000000" w:sz="0" w:space="0"/>
          <w:right w:val="none" w:color="000000" w:sz="0" w:space="0"/>
        </w:pBdr>
        <w:wordWrap w:val="0"/>
        <w:spacing w:line="312" w:lineRule="auto"/>
        <w:ind w:firstLine="480" w:firstLineChars="200"/>
      </w:pPr>
      <w:r>
        <w:rPr>
          <w:rFonts w:hint="eastAsia" w:ascii="宋体" w:hAnsi="宋体" w:cs="宋体"/>
          <w:sz w:val="24"/>
          <w:szCs w:val="24"/>
        </w:rPr>
        <w:t>2、对标注“★”“▲”项的技术要求（除另有说明外）必须在响应文件中提供公开发行的产品说明书或产品彩页或第三方检测报告复印件或可查询的产品制造商官网截图（附官网链接）或功能截图等佐证材料（如为复印件需加盖供应商公章，供应商自行承诺的证明材料不认可），未提供佐证资料的，评</w:t>
      </w:r>
      <w:r>
        <w:rPr>
          <w:rFonts w:hint="eastAsia" w:ascii="宋体" w:hAnsi="宋体" w:cs="宋体"/>
          <w:sz w:val="24"/>
          <w:szCs w:val="24"/>
          <w:lang w:val="en-US" w:eastAsia="zh-CN"/>
        </w:rPr>
        <w:t>审</w:t>
      </w:r>
      <w:bookmarkStart w:id="19" w:name="_GoBack"/>
      <w:bookmarkEnd w:id="19"/>
      <w:r>
        <w:rPr>
          <w:rFonts w:hint="eastAsia" w:ascii="宋体" w:hAnsi="宋体" w:cs="宋体"/>
          <w:sz w:val="24"/>
          <w:szCs w:val="24"/>
        </w:rPr>
        <w:t>时不予认可：加“★”未提供佐证材料或提供的佐证材料不满足要求，按无效标处理；“▲”未提供佐证材料或提供的佐证材料不满足要求的，按负偏离扣分处理。</w:t>
      </w:r>
    </w:p>
    <w:p w14:paraId="331D797E">
      <w:pPr>
        <w:rPr>
          <w:b/>
          <w:color w:val="000000" w:themeColor="text1"/>
          <w:sz w:val="28"/>
          <w:szCs w:val="28"/>
          <w:lang w:val="zh-CN"/>
          <w14:textFill>
            <w14:solidFill>
              <w14:schemeClr w14:val="tx1"/>
            </w14:solidFill>
          </w14:textFill>
        </w:rPr>
      </w:pPr>
    </w:p>
    <w:p w14:paraId="0CCAACA5">
      <w:pPr>
        <w:numPr>
          <w:ilvl w:val="0"/>
          <w:numId w:val="54"/>
        </w:numPr>
        <w:adjustRightInd w:val="0"/>
        <w:snapToGrid w:val="0"/>
        <w:spacing w:before="120" w:beforeLines="50" w:after="120" w:afterLines="50" w:line="360" w:lineRule="auto"/>
        <w:outlineLvl w:val="2"/>
        <w:rPr>
          <w:b/>
          <w:color w:val="000000" w:themeColor="text1"/>
          <w:sz w:val="28"/>
          <w:szCs w:val="28"/>
          <w:lang w:val="zh-CN"/>
          <w14:textFill>
            <w14:solidFill>
              <w14:schemeClr w14:val="tx1"/>
            </w14:solidFill>
          </w14:textFill>
        </w:rPr>
      </w:pPr>
      <w:r>
        <w:rPr>
          <w:rFonts w:hint="eastAsia"/>
          <w:b/>
          <w:color w:val="000000" w:themeColor="text1"/>
          <w:sz w:val="28"/>
          <w:szCs w:val="28"/>
          <w:lang w:val="zh-CN"/>
          <w14:textFill>
            <w14:solidFill>
              <w14:schemeClr w14:val="tx1"/>
            </w14:solidFill>
          </w14:textFill>
        </w:rPr>
        <w:t>商务条款</w:t>
      </w:r>
    </w:p>
    <w:p w14:paraId="564DEF8F">
      <w:pPr>
        <w:numPr>
          <w:ilvl w:val="0"/>
          <w:numId w:val="58"/>
        </w:numPr>
        <w:snapToGrid w:val="0"/>
        <w:spacing w:line="360" w:lineRule="auto"/>
        <w:rPr>
          <w:rFonts w:ascii="宋体" w:hAnsi="宋体" w:cs="宋体"/>
          <w:sz w:val="24"/>
          <w:szCs w:val="24"/>
          <w:lang w:bidi="ar"/>
        </w:rPr>
      </w:pPr>
      <w:r>
        <w:rPr>
          <w:rFonts w:hint="eastAsia" w:ascii="Arial" w:hAnsi="Arial"/>
          <w:b/>
          <w:bCs/>
          <w:sz w:val="24"/>
          <w:szCs w:val="24"/>
          <w:lang w:bidi="ar"/>
        </w:rPr>
        <w:t>供货</w:t>
      </w:r>
      <w:r>
        <w:rPr>
          <w:rFonts w:hint="eastAsia" w:ascii="宋体" w:hAnsi="宋体" w:cs="宋体"/>
          <w:b/>
          <w:bCs/>
          <w:sz w:val="24"/>
          <w:szCs w:val="24"/>
          <w:lang w:bidi="ar"/>
        </w:rPr>
        <w:t>、运输及安装调试</w:t>
      </w:r>
      <w:r>
        <w:rPr>
          <w:rFonts w:hint="eastAsia" w:ascii="宋体" w:hAnsi="宋体" w:cs="宋体"/>
          <w:sz w:val="24"/>
          <w:szCs w:val="24"/>
          <w:lang w:bidi="ar"/>
        </w:rPr>
        <w:t xml:space="preserve">  </w:t>
      </w:r>
    </w:p>
    <w:p w14:paraId="06EC34F1">
      <w:pPr>
        <w:numPr>
          <w:ilvl w:val="0"/>
          <w:numId w:val="59"/>
        </w:numPr>
        <w:snapToGrid w:val="0"/>
        <w:spacing w:line="360" w:lineRule="auto"/>
        <w:ind w:left="0" w:firstLine="480" w:firstLineChars="200"/>
        <w:rPr>
          <w:rFonts w:ascii="宋体" w:hAnsi="宋体" w:cs="宋体"/>
          <w:sz w:val="24"/>
          <w:szCs w:val="24"/>
          <w:lang w:bidi="ar"/>
        </w:rPr>
      </w:pPr>
      <w:r>
        <w:rPr>
          <w:rFonts w:hint="eastAsia" w:ascii="宋体" w:hAnsi="宋体" w:cs="宋体"/>
          <w:sz w:val="24"/>
          <w:szCs w:val="24"/>
          <w:lang w:bidi="ar"/>
        </w:rPr>
        <w:t>交货地点：南京邮电大学校内指定地点。</w:t>
      </w:r>
    </w:p>
    <w:p w14:paraId="2EB7BBEC">
      <w:pPr>
        <w:numPr>
          <w:ilvl w:val="0"/>
          <w:numId w:val="59"/>
        </w:numPr>
        <w:snapToGrid w:val="0"/>
        <w:spacing w:line="360" w:lineRule="auto"/>
        <w:ind w:left="0" w:firstLine="480" w:firstLineChars="200"/>
        <w:jc w:val="left"/>
        <w:rPr>
          <w:rFonts w:ascii="宋体" w:hAnsi="宋体" w:cs="宋体"/>
          <w:sz w:val="24"/>
          <w:szCs w:val="24"/>
          <w:lang w:bidi="ar"/>
        </w:rPr>
      </w:pPr>
      <w:r>
        <w:rPr>
          <w:rFonts w:hint="eastAsia" w:ascii="宋体" w:hAnsi="宋体" w:cs="宋体"/>
          <w:sz w:val="24"/>
          <w:szCs w:val="24"/>
          <w:lang w:bidi="ar"/>
        </w:rPr>
        <w:t>交货期：合同签订后1个月内完成供货、安装、调试及交付使用。</w:t>
      </w:r>
    </w:p>
    <w:p w14:paraId="59B11351">
      <w:pPr>
        <w:widowControl/>
        <w:numPr>
          <w:ilvl w:val="0"/>
          <w:numId w:val="58"/>
        </w:numPr>
        <w:snapToGrid w:val="0"/>
        <w:spacing w:line="360" w:lineRule="auto"/>
        <w:ind w:left="0" w:firstLine="0"/>
        <w:jc w:val="left"/>
        <w:rPr>
          <w:rFonts w:ascii="宋体" w:hAnsi="宋体" w:cs="宋体"/>
          <w:b/>
          <w:bCs/>
          <w:sz w:val="24"/>
          <w:szCs w:val="24"/>
          <w:lang w:val="zh-CN" w:bidi="ar"/>
        </w:rPr>
      </w:pPr>
      <w:r>
        <w:rPr>
          <w:rFonts w:hint="eastAsia" w:ascii="宋体" w:hAnsi="宋体" w:cs="宋体"/>
          <w:b/>
          <w:bCs/>
          <w:sz w:val="24"/>
          <w:szCs w:val="24"/>
          <w:lang w:val="zh-CN" w:bidi="ar"/>
        </w:rPr>
        <w:t>运输要求</w:t>
      </w:r>
    </w:p>
    <w:p w14:paraId="793EE84F">
      <w:pPr>
        <w:widowControl/>
        <w:numPr>
          <w:ilvl w:val="255"/>
          <w:numId w:val="0"/>
        </w:numPr>
        <w:snapToGrid w:val="0"/>
        <w:spacing w:line="360" w:lineRule="auto"/>
        <w:ind w:left="425"/>
        <w:jc w:val="left"/>
        <w:rPr>
          <w:rFonts w:ascii="宋体" w:hAnsi="宋体" w:cs="宋体"/>
          <w:sz w:val="24"/>
          <w:szCs w:val="24"/>
          <w:lang w:val="zh-CN" w:bidi="ar"/>
        </w:rPr>
      </w:pPr>
      <w:r>
        <w:rPr>
          <w:rFonts w:hint="eastAsia" w:ascii="宋体" w:hAnsi="宋体" w:cs="宋体"/>
          <w:sz w:val="24"/>
          <w:szCs w:val="24"/>
          <w:lang w:bidi="ar"/>
        </w:rPr>
        <w:t>成交</w:t>
      </w:r>
      <w:r>
        <w:rPr>
          <w:rFonts w:hint="eastAsia" w:ascii="宋体" w:hAnsi="宋体" w:cs="宋体"/>
          <w:sz w:val="24"/>
          <w:szCs w:val="24"/>
          <w:lang w:val="zh-CN" w:bidi="ar"/>
        </w:rPr>
        <w:t>后免费运输至</w:t>
      </w:r>
      <w:r>
        <w:rPr>
          <w:rFonts w:hint="eastAsia" w:ascii="宋体" w:hAnsi="宋体" w:cs="宋体"/>
          <w:sz w:val="24"/>
          <w:szCs w:val="24"/>
          <w:lang w:bidi="ar"/>
        </w:rPr>
        <w:t>采购人</w:t>
      </w:r>
      <w:r>
        <w:rPr>
          <w:rFonts w:hint="eastAsia" w:ascii="宋体" w:hAnsi="宋体" w:cs="宋体"/>
          <w:sz w:val="24"/>
          <w:szCs w:val="24"/>
          <w:lang w:val="zh-CN" w:bidi="ar"/>
        </w:rPr>
        <w:t>指定地点。</w:t>
      </w:r>
    </w:p>
    <w:p w14:paraId="7D630F63">
      <w:pPr>
        <w:widowControl/>
        <w:numPr>
          <w:ilvl w:val="0"/>
          <w:numId w:val="58"/>
        </w:numPr>
        <w:snapToGrid w:val="0"/>
        <w:spacing w:line="360" w:lineRule="auto"/>
        <w:ind w:left="0" w:firstLine="0"/>
        <w:jc w:val="left"/>
        <w:rPr>
          <w:rFonts w:ascii="宋体" w:hAnsi="宋体" w:cs="宋体"/>
          <w:b/>
          <w:bCs/>
          <w:sz w:val="24"/>
          <w:szCs w:val="24"/>
          <w:lang w:val="zh-CN" w:bidi="ar"/>
        </w:rPr>
      </w:pPr>
      <w:r>
        <w:rPr>
          <w:rFonts w:hint="eastAsia" w:ascii="宋体" w:hAnsi="宋体" w:cs="宋体"/>
          <w:b/>
          <w:bCs/>
          <w:sz w:val="24"/>
          <w:szCs w:val="24"/>
          <w:lang w:val="zh-CN" w:bidi="ar"/>
        </w:rPr>
        <w:t>质量保证要求</w:t>
      </w:r>
    </w:p>
    <w:p w14:paraId="5C52505C">
      <w:pPr>
        <w:widowControl/>
        <w:snapToGrid w:val="0"/>
        <w:spacing w:line="360" w:lineRule="auto"/>
        <w:ind w:firstLine="480" w:firstLineChars="200"/>
        <w:jc w:val="left"/>
        <w:rPr>
          <w:rFonts w:ascii="宋体" w:hAnsi="宋体" w:cs="宋体"/>
          <w:sz w:val="24"/>
          <w:szCs w:val="24"/>
          <w:lang w:val="zh-CN" w:bidi="ar"/>
        </w:rPr>
      </w:pPr>
      <w:r>
        <w:rPr>
          <w:rFonts w:hint="eastAsia" w:ascii="宋体" w:hAnsi="宋体" w:cs="宋体"/>
          <w:sz w:val="24"/>
          <w:szCs w:val="24"/>
          <w:lang w:val="zh-CN" w:bidi="ar"/>
        </w:rPr>
        <w:t>需按采购文件规定的货物性能、技术要求、质量标准向采购</w:t>
      </w:r>
      <w:r>
        <w:rPr>
          <w:rFonts w:hint="eastAsia" w:ascii="宋体" w:hAnsi="宋体" w:cs="宋体"/>
          <w:sz w:val="24"/>
          <w:szCs w:val="24"/>
          <w:lang w:bidi="ar"/>
        </w:rPr>
        <w:t>人</w:t>
      </w:r>
      <w:r>
        <w:rPr>
          <w:rFonts w:hint="eastAsia" w:ascii="宋体" w:hAnsi="宋体" w:cs="宋体"/>
          <w:sz w:val="24"/>
          <w:szCs w:val="24"/>
          <w:lang w:val="zh-CN" w:bidi="ar"/>
        </w:rPr>
        <w:t>提供</w:t>
      </w:r>
      <w:r>
        <w:rPr>
          <w:rFonts w:hint="eastAsia" w:ascii="宋体" w:hAnsi="宋体" w:cs="宋体"/>
          <w:sz w:val="24"/>
          <w:szCs w:val="24"/>
          <w:lang w:bidi="ar"/>
        </w:rPr>
        <w:t>设备</w:t>
      </w:r>
      <w:r>
        <w:rPr>
          <w:rFonts w:hint="eastAsia" w:ascii="宋体" w:hAnsi="宋体" w:cs="宋体"/>
          <w:sz w:val="24"/>
          <w:szCs w:val="24"/>
          <w:lang w:val="zh-CN" w:bidi="ar"/>
        </w:rPr>
        <w:t>。</w:t>
      </w:r>
    </w:p>
    <w:p w14:paraId="5CE1BBF3">
      <w:pPr>
        <w:widowControl/>
        <w:numPr>
          <w:ilvl w:val="0"/>
          <w:numId w:val="58"/>
        </w:numPr>
        <w:snapToGrid w:val="0"/>
        <w:spacing w:line="360" w:lineRule="auto"/>
        <w:ind w:left="0" w:firstLine="0"/>
        <w:jc w:val="left"/>
        <w:rPr>
          <w:rFonts w:ascii="宋体" w:hAnsi="宋体" w:cs="宋体"/>
          <w:b/>
          <w:bCs/>
          <w:sz w:val="24"/>
          <w:szCs w:val="24"/>
          <w:lang w:val="zh-CN" w:bidi="ar"/>
        </w:rPr>
      </w:pPr>
      <w:r>
        <w:rPr>
          <w:rFonts w:hint="eastAsia" w:ascii="宋体" w:hAnsi="宋体" w:cs="宋体"/>
          <w:b/>
          <w:bCs/>
          <w:sz w:val="24"/>
          <w:szCs w:val="24"/>
          <w:lang w:bidi="ar"/>
        </w:rPr>
        <w:t>售后服务要求</w:t>
      </w:r>
    </w:p>
    <w:p w14:paraId="5AF45402">
      <w:pPr>
        <w:numPr>
          <w:ilvl w:val="0"/>
          <w:numId w:val="60"/>
        </w:numPr>
        <w:snapToGrid w:val="0"/>
        <w:spacing w:line="360" w:lineRule="auto"/>
        <w:ind w:left="0" w:firstLine="480" w:firstLineChars="200"/>
        <w:rPr>
          <w:rFonts w:ascii="宋体" w:hAnsi="宋体" w:cs="宋体"/>
          <w:sz w:val="24"/>
          <w:szCs w:val="24"/>
          <w:lang w:val="zh-CN" w:bidi="ar"/>
        </w:rPr>
      </w:pPr>
      <w:r>
        <w:rPr>
          <w:rFonts w:hint="eastAsia" w:ascii="宋体" w:hAnsi="宋体" w:cs="宋体"/>
          <w:sz w:val="24"/>
          <w:szCs w:val="24"/>
          <w:lang w:val="zh-CN" w:bidi="ar"/>
        </w:rPr>
        <w:t>提供整机原厂免费质保</w:t>
      </w:r>
      <w:r>
        <w:rPr>
          <w:rFonts w:hint="eastAsia" w:ascii="宋体" w:hAnsi="宋体" w:cs="宋体"/>
          <w:sz w:val="24"/>
          <w:szCs w:val="24"/>
          <w:lang w:bidi="ar"/>
        </w:rPr>
        <w:t>三</w:t>
      </w:r>
      <w:r>
        <w:rPr>
          <w:rFonts w:hint="eastAsia" w:ascii="宋体" w:hAnsi="宋体" w:cs="宋体"/>
          <w:sz w:val="24"/>
          <w:szCs w:val="24"/>
          <w:lang w:val="zh-CN" w:bidi="ar"/>
        </w:rPr>
        <w:t>年，分子泵、传感器免费质保</w:t>
      </w:r>
      <w:r>
        <w:rPr>
          <w:rFonts w:hint="eastAsia" w:ascii="宋体" w:hAnsi="宋体" w:cs="宋体"/>
          <w:sz w:val="24"/>
          <w:szCs w:val="24"/>
          <w:lang w:bidi="ar"/>
        </w:rPr>
        <w:t>五</w:t>
      </w:r>
      <w:r>
        <w:rPr>
          <w:rFonts w:hint="eastAsia" w:ascii="宋体" w:hAnsi="宋体" w:cs="宋体"/>
          <w:sz w:val="24"/>
          <w:szCs w:val="24"/>
          <w:lang w:val="zh-CN" w:bidi="ar"/>
        </w:rPr>
        <w:t>年，质保期从验收报告签署之日起算。质保期内发生任何设备损坏，所需要的维修费用（包括零部件费用、维修费用）均由供应商承担（人为操作不当造成的损坏除外）</w:t>
      </w:r>
      <w:r>
        <w:rPr>
          <w:rFonts w:hint="eastAsia" w:ascii="宋体" w:hAnsi="宋体" w:cs="宋体"/>
          <w:sz w:val="24"/>
          <w:szCs w:val="24"/>
          <w:lang w:bidi="ar"/>
        </w:rPr>
        <w:t>。</w:t>
      </w:r>
    </w:p>
    <w:p w14:paraId="6A47BECB">
      <w:pPr>
        <w:numPr>
          <w:ilvl w:val="0"/>
          <w:numId w:val="60"/>
        </w:numPr>
        <w:snapToGrid w:val="0"/>
        <w:spacing w:line="360" w:lineRule="auto"/>
        <w:ind w:left="0" w:firstLine="480" w:firstLineChars="200"/>
        <w:rPr>
          <w:rFonts w:ascii="宋体" w:hAnsi="宋体" w:cs="宋体"/>
          <w:sz w:val="24"/>
          <w:szCs w:val="24"/>
          <w:lang w:val="zh-CN" w:bidi="ar"/>
        </w:rPr>
      </w:pPr>
      <w:r>
        <w:rPr>
          <w:rFonts w:hint="eastAsia" w:ascii="宋体" w:hAnsi="宋体" w:cs="宋体"/>
          <w:sz w:val="24"/>
          <w:szCs w:val="24"/>
          <w:lang w:bidi="ar"/>
        </w:rPr>
        <w:t>响应时效：提供7*24小时售后服务热线，故障报修2小时内响应，1-2个工作日内解决问题并维修完毕。</w:t>
      </w:r>
    </w:p>
    <w:p w14:paraId="5D6F6B6E">
      <w:pPr>
        <w:numPr>
          <w:ilvl w:val="0"/>
          <w:numId w:val="60"/>
        </w:numPr>
        <w:snapToGrid w:val="0"/>
        <w:spacing w:line="360" w:lineRule="auto"/>
        <w:ind w:left="0" w:firstLine="480" w:firstLineChars="200"/>
        <w:rPr>
          <w:rFonts w:ascii="宋体" w:hAnsi="宋体" w:cs="宋体"/>
          <w:sz w:val="24"/>
          <w:szCs w:val="24"/>
          <w:lang w:val="zh-CN" w:bidi="ar"/>
        </w:rPr>
      </w:pPr>
      <w:r>
        <w:rPr>
          <w:rFonts w:hint="eastAsia" w:ascii="宋体" w:hAnsi="宋体" w:cs="宋体"/>
          <w:sz w:val="24"/>
          <w:szCs w:val="24"/>
          <w:lang w:bidi="ar"/>
        </w:rPr>
        <w:t>质保期满</w:t>
      </w:r>
      <w:r>
        <w:rPr>
          <w:rFonts w:hint="eastAsia" w:ascii="宋体" w:hAnsi="宋体" w:cs="宋体"/>
          <w:sz w:val="24"/>
          <w:szCs w:val="24"/>
          <w:lang w:val="zh-CN" w:bidi="ar"/>
        </w:rPr>
        <w:t>后，</w:t>
      </w:r>
      <w:r>
        <w:rPr>
          <w:rFonts w:hint="eastAsia" w:ascii="宋体" w:hAnsi="宋体" w:cs="宋体"/>
          <w:sz w:val="24"/>
          <w:szCs w:val="24"/>
          <w:lang w:bidi="ar"/>
        </w:rPr>
        <w:t>成交供应商</w:t>
      </w:r>
      <w:r>
        <w:rPr>
          <w:rFonts w:hint="eastAsia" w:ascii="宋体" w:hAnsi="宋体" w:cs="宋体"/>
          <w:sz w:val="24"/>
          <w:szCs w:val="24"/>
          <w:lang w:val="zh-CN" w:bidi="ar"/>
        </w:rPr>
        <w:t>将继续为</w:t>
      </w:r>
      <w:r>
        <w:rPr>
          <w:rFonts w:hint="eastAsia" w:ascii="宋体" w:hAnsi="宋体" w:cs="宋体"/>
          <w:sz w:val="24"/>
          <w:szCs w:val="24"/>
          <w:lang w:bidi="ar"/>
        </w:rPr>
        <w:t>采购人</w:t>
      </w:r>
      <w:r>
        <w:rPr>
          <w:rFonts w:hint="eastAsia" w:ascii="宋体" w:hAnsi="宋体" w:cs="宋体"/>
          <w:sz w:val="24"/>
          <w:szCs w:val="24"/>
          <w:lang w:val="zh-CN" w:bidi="ar"/>
        </w:rPr>
        <w:t>服务，所涉及软件终身免费升级。在此基础上，</w:t>
      </w:r>
      <w:r>
        <w:rPr>
          <w:rFonts w:ascii="宋体" w:hAnsi="宋体" w:cs="宋体"/>
          <w:sz w:val="24"/>
          <w:szCs w:val="24"/>
          <w:lang w:val="zh-CN" w:bidi="ar"/>
        </w:rPr>
        <w:t>赠送</w:t>
      </w:r>
      <w:r>
        <w:rPr>
          <w:rFonts w:hint="eastAsia" w:ascii="宋体" w:hAnsi="宋体" w:cs="宋体"/>
          <w:sz w:val="24"/>
          <w:szCs w:val="24"/>
          <w:lang w:bidi="ar"/>
        </w:rPr>
        <w:t>六</w:t>
      </w:r>
      <w:r>
        <w:rPr>
          <w:rFonts w:ascii="宋体" w:hAnsi="宋体" w:cs="宋体"/>
          <w:sz w:val="24"/>
          <w:szCs w:val="24"/>
          <w:lang w:val="zh-CN" w:bidi="ar"/>
        </w:rPr>
        <w:t>次工程师免费上门维修维护（耗材或配件另算）。</w:t>
      </w:r>
    </w:p>
    <w:p w14:paraId="16793434">
      <w:pPr>
        <w:numPr>
          <w:ilvl w:val="0"/>
          <w:numId w:val="58"/>
        </w:numPr>
        <w:snapToGrid w:val="0"/>
        <w:spacing w:line="360" w:lineRule="auto"/>
        <w:rPr>
          <w:rFonts w:ascii="宋体" w:hAnsi="宋体" w:cs="宋体"/>
          <w:b/>
          <w:bCs/>
          <w:sz w:val="24"/>
          <w:szCs w:val="24"/>
          <w:lang w:bidi="ar"/>
        </w:rPr>
      </w:pPr>
      <w:r>
        <w:rPr>
          <w:rFonts w:hint="eastAsia" w:ascii="宋体" w:hAnsi="宋体" w:cs="宋体"/>
          <w:b/>
          <w:bCs/>
          <w:sz w:val="24"/>
          <w:szCs w:val="24"/>
          <w:lang w:bidi="ar"/>
        </w:rPr>
        <w:t>技术培训与应用支持</w:t>
      </w:r>
    </w:p>
    <w:p w14:paraId="42D46F2E">
      <w:pPr>
        <w:numPr>
          <w:ilvl w:val="0"/>
          <w:numId w:val="61"/>
        </w:numPr>
        <w:snapToGrid w:val="0"/>
        <w:spacing w:line="360" w:lineRule="auto"/>
        <w:ind w:left="0" w:firstLine="480" w:firstLineChars="200"/>
        <w:rPr>
          <w:rFonts w:ascii="宋体" w:hAnsi="宋体" w:cs="宋体"/>
          <w:sz w:val="24"/>
          <w:szCs w:val="24"/>
          <w:lang w:bidi="ar"/>
        </w:rPr>
      </w:pPr>
      <w:r>
        <w:rPr>
          <w:rFonts w:hint="eastAsia" w:ascii="宋体" w:hAnsi="宋体" w:cs="宋体"/>
          <w:sz w:val="24"/>
          <w:szCs w:val="24"/>
          <w:lang w:bidi="ar"/>
        </w:rPr>
        <w:t>设备安装调试完成后，提供1次专业工程师免费现场系统使用的培训服务，直至采购人的相关人员熟练掌握为止。培训人数不少于2人，培训时间不少于3天。</w:t>
      </w:r>
    </w:p>
    <w:p w14:paraId="6ABA0BB4">
      <w:pPr>
        <w:numPr>
          <w:ilvl w:val="0"/>
          <w:numId w:val="61"/>
        </w:numPr>
        <w:snapToGrid w:val="0"/>
        <w:spacing w:line="360" w:lineRule="auto"/>
        <w:ind w:left="0" w:firstLine="480" w:firstLineChars="200"/>
        <w:rPr>
          <w:rFonts w:ascii="宋体" w:hAnsi="宋体" w:cs="宋体"/>
          <w:sz w:val="24"/>
          <w:szCs w:val="24"/>
          <w:lang w:bidi="ar"/>
        </w:rPr>
      </w:pPr>
      <w:r>
        <w:rPr>
          <w:rFonts w:hint="eastAsia" w:ascii="宋体" w:hAnsi="宋体" w:cs="宋体"/>
          <w:sz w:val="24"/>
          <w:szCs w:val="24"/>
          <w:lang w:bidi="ar"/>
        </w:rPr>
        <w:t>采购人测试过程中遇到使用问题供应商应及时予以排查和解答。</w:t>
      </w:r>
    </w:p>
    <w:p w14:paraId="7E5FE9FA">
      <w:pPr>
        <w:widowControl/>
        <w:numPr>
          <w:ilvl w:val="0"/>
          <w:numId w:val="58"/>
        </w:numPr>
        <w:snapToGrid w:val="0"/>
        <w:spacing w:line="360" w:lineRule="auto"/>
        <w:ind w:left="0" w:firstLine="0"/>
        <w:jc w:val="left"/>
        <w:rPr>
          <w:rFonts w:ascii="宋体" w:hAnsi="宋体" w:cs="宋体"/>
          <w:b/>
          <w:bCs/>
          <w:sz w:val="24"/>
          <w:szCs w:val="24"/>
          <w:lang w:val="zh-CN" w:bidi="ar"/>
        </w:rPr>
      </w:pPr>
      <w:r>
        <w:rPr>
          <w:rFonts w:hint="eastAsia" w:ascii="宋体" w:hAnsi="宋体" w:cs="宋体"/>
          <w:b/>
          <w:bCs/>
          <w:sz w:val="24"/>
          <w:szCs w:val="24"/>
          <w:lang w:bidi="ar"/>
        </w:rPr>
        <w:t>付款方式</w:t>
      </w:r>
    </w:p>
    <w:p w14:paraId="40A02A1C">
      <w:pPr>
        <w:widowControl/>
        <w:numPr>
          <w:ilvl w:val="255"/>
          <w:numId w:val="0"/>
        </w:numPr>
        <w:snapToGrid w:val="0"/>
        <w:spacing w:line="360" w:lineRule="auto"/>
        <w:ind w:firstLine="480" w:firstLineChars="200"/>
        <w:jc w:val="left"/>
        <w:rPr>
          <w:rFonts w:ascii="宋体" w:hAnsi="宋体" w:cs="宋体"/>
          <w:b/>
          <w:bCs/>
          <w:sz w:val="24"/>
          <w:szCs w:val="24"/>
          <w:lang w:val="zh-CN" w:bidi="ar"/>
        </w:rPr>
      </w:pPr>
      <w:r>
        <w:rPr>
          <w:rFonts w:hint="eastAsia" w:ascii="宋体" w:hAnsi="宋体" w:cs="宋体"/>
          <w:sz w:val="24"/>
          <w:szCs w:val="24"/>
          <w:lang w:val="zh-CN" w:bidi="ar"/>
        </w:rPr>
        <w:t>验收合格后30日内付至合同总价的100%。付款金额不计利息。</w:t>
      </w:r>
    </w:p>
    <w:p w14:paraId="5B7C4B9D">
      <w:pPr>
        <w:widowControl/>
        <w:numPr>
          <w:ilvl w:val="0"/>
          <w:numId w:val="58"/>
        </w:numPr>
        <w:snapToGrid w:val="0"/>
        <w:spacing w:line="360" w:lineRule="auto"/>
        <w:ind w:left="0" w:firstLine="0"/>
        <w:jc w:val="left"/>
        <w:rPr>
          <w:rFonts w:ascii="宋体" w:hAnsi="宋体" w:cs="宋体"/>
          <w:b/>
          <w:bCs/>
          <w:sz w:val="24"/>
          <w:szCs w:val="24"/>
          <w:lang w:val="zh-CN" w:bidi="ar"/>
        </w:rPr>
      </w:pPr>
      <w:r>
        <w:rPr>
          <w:rFonts w:hint="eastAsia" w:ascii="宋体" w:hAnsi="宋体" w:cs="宋体"/>
          <w:b/>
          <w:bCs/>
          <w:sz w:val="24"/>
          <w:szCs w:val="24"/>
          <w:lang w:bidi="ar"/>
        </w:rPr>
        <w:t>报价要求</w:t>
      </w:r>
    </w:p>
    <w:p w14:paraId="4A6D9EE6">
      <w:pPr>
        <w:widowControl/>
        <w:snapToGrid w:val="0"/>
        <w:spacing w:line="360" w:lineRule="auto"/>
        <w:ind w:left="425"/>
        <w:jc w:val="left"/>
        <w:rPr>
          <w:rFonts w:ascii="宋体" w:hAnsi="宋体" w:cs="宋体"/>
          <w:sz w:val="24"/>
          <w:szCs w:val="24"/>
          <w:lang w:val="zh-CN" w:bidi="ar"/>
        </w:rPr>
      </w:pPr>
      <w:r>
        <w:rPr>
          <w:rFonts w:hint="eastAsia" w:ascii="宋体" w:hAnsi="宋体" w:cs="宋体"/>
          <w:sz w:val="24"/>
          <w:szCs w:val="24"/>
          <w:lang w:bidi="ar"/>
        </w:rPr>
        <w:t>供应商</w:t>
      </w:r>
      <w:r>
        <w:rPr>
          <w:rFonts w:hint="eastAsia" w:ascii="宋体" w:hAnsi="宋体" w:cs="宋体"/>
          <w:sz w:val="24"/>
          <w:szCs w:val="24"/>
          <w:lang w:val="zh-CN" w:bidi="ar"/>
        </w:rPr>
        <w:t>须对本项目内所有产品和数量进行</w:t>
      </w:r>
      <w:r>
        <w:rPr>
          <w:rFonts w:hint="eastAsia" w:ascii="宋体" w:hAnsi="宋体" w:cs="宋体"/>
          <w:sz w:val="24"/>
          <w:szCs w:val="24"/>
          <w:lang w:bidi="ar"/>
        </w:rPr>
        <w:t>响应</w:t>
      </w:r>
      <w:r>
        <w:rPr>
          <w:rFonts w:hint="eastAsia" w:ascii="宋体" w:hAnsi="宋体" w:cs="宋体"/>
          <w:sz w:val="24"/>
          <w:szCs w:val="24"/>
          <w:lang w:val="zh-CN" w:bidi="ar"/>
        </w:rPr>
        <w:t>报价，否则视为无效</w:t>
      </w:r>
      <w:r>
        <w:rPr>
          <w:rFonts w:hint="eastAsia" w:ascii="宋体" w:hAnsi="宋体" w:cs="宋体"/>
          <w:sz w:val="24"/>
          <w:szCs w:val="24"/>
          <w:lang w:bidi="ar"/>
        </w:rPr>
        <w:t>响应</w:t>
      </w:r>
      <w:r>
        <w:rPr>
          <w:rFonts w:hint="eastAsia" w:ascii="宋体" w:hAnsi="宋体" w:cs="宋体"/>
          <w:sz w:val="24"/>
          <w:szCs w:val="24"/>
          <w:lang w:val="zh-CN" w:bidi="ar"/>
        </w:rPr>
        <w:t>。</w:t>
      </w:r>
    </w:p>
    <w:p w14:paraId="6A75C7BA">
      <w:pPr>
        <w:numPr>
          <w:ilvl w:val="0"/>
          <w:numId w:val="58"/>
        </w:numPr>
        <w:snapToGrid w:val="0"/>
        <w:spacing w:line="360" w:lineRule="auto"/>
        <w:rPr>
          <w:rFonts w:ascii="宋体" w:hAnsi="宋体" w:cs="宋体"/>
          <w:b/>
          <w:bCs/>
          <w:sz w:val="24"/>
          <w:szCs w:val="24"/>
          <w:lang w:bidi="ar"/>
        </w:rPr>
      </w:pPr>
      <w:r>
        <w:rPr>
          <w:rFonts w:hint="eastAsia" w:ascii="宋体" w:hAnsi="宋体" w:cs="宋体"/>
          <w:b/>
          <w:bCs/>
          <w:sz w:val="24"/>
          <w:szCs w:val="24"/>
          <w:lang w:bidi="ar"/>
        </w:rPr>
        <w:t>知识产权的归属和处理方式</w:t>
      </w:r>
    </w:p>
    <w:p w14:paraId="437C132C">
      <w:pPr>
        <w:snapToGrid w:val="0"/>
        <w:spacing w:line="360" w:lineRule="auto"/>
        <w:ind w:firstLine="480" w:firstLineChars="200"/>
        <w:jc w:val="left"/>
        <w:textAlignment w:val="baseline"/>
        <w:rPr>
          <w:rFonts w:hint="eastAsia" w:ascii="宋体" w:hAnsi="宋体" w:cs="宋体"/>
          <w:sz w:val="24"/>
          <w:szCs w:val="24"/>
          <w:lang w:bidi="ar"/>
        </w:rPr>
      </w:pPr>
      <w:r>
        <w:rPr>
          <w:rFonts w:hint="eastAsia" w:ascii="宋体" w:hAnsi="宋体" w:cs="宋体"/>
          <w:sz w:val="24"/>
          <w:szCs w:val="24"/>
          <w:lang w:bidi="ar"/>
        </w:rPr>
        <w:t>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43834C9B">
      <w:pPr>
        <w:numPr>
          <w:ilvl w:val="0"/>
          <w:numId w:val="58"/>
        </w:numPr>
        <w:snapToGrid w:val="0"/>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t>进校报备：</w:t>
      </w:r>
    </w:p>
    <w:p w14:paraId="4180D2C8">
      <w:pPr>
        <w:snapToGrid w:val="0"/>
        <w:spacing w:line="360" w:lineRule="auto"/>
        <w:ind w:firstLine="480" w:firstLineChars="200"/>
        <w:jc w:val="left"/>
        <w:textAlignment w:val="baseline"/>
        <w:rPr>
          <w:rFonts w:hint="eastAsia" w:ascii="宋体" w:hAnsi="宋体" w:cs="宋体"/>
          <w:sz w:val="24"/>
          <w:szCs w:val="24"/>
          <w:highlight w:val="none"/>
          <w:lang w:bidi="ar"/>
        </w:rPr>
      </w:pPr>
      <w:r>
        <w:rPr>
          <w:rFonts w:hint="eastAsia" w:ascii="宋体" w:hAnsi="宋体" w:cs="宋体"/>
          <w:sz w:val="24"/>
          <w:szCs w:val="24"/>
          <w:highlight w:val="none"/>
          <w:lang w:bidi="ar"/>
        </w:rPr>
        <w:t>进校参加</w:t>
      </w:r>
      <w:r>
        <w:rPr>
          <w:rFonts w:hint="eastAsia" w:ascii="宋体" w:hAnsi="宋体" w:cs="宋体"/>
          <w:sz w:val="24"/>
          <w:szCs w:val="24"/>
          <w:highlight w:val="none"/>
          <w:lang w:val="en-US" w:eastAsia="zh-CN" w:bidi="ar"/>
        </w:rPr>
        <w:t>响应</w:t>
      </w:r>
      <w:r>
        <w:rPr>
          <w:rFonts w:hint="eastAsia" w:ascii="宋体" w:hAnsi="宋体" w:cs="宋体"/>
          <w:sz w:val="24"/>
          <w:szCs w:val="24"/>
          <w:highlight w:val="none"/>
          <w:lang w:bidi="ar"/>
        </w:rPr>
        <w:t>活动的人员，应提前2小时扫描下方二维码填写入校预约，审核通过后从南邮仙林校区南门（文苑路9号）入校。（进校二维码见下）</w:t>
      </w:r>
    </w:p>
    <w:p w14:paraId="36E58030">
      <w:pPr>
        <w:pageBreakBefore w:val="0"/>
        <w:kinsoku/>
        <w:wordWrap w:val="0"/>
        <w:overflowPunct/>
        <w:bidi w:val="0"/>
        <w:ind w:firstLine="480"/>
        <w:jc w:val="center"/>
        <w:rPr>
          <w:rFonts w:hint="eastAsia" w:ascii="宋体" w:hAnsi="宋体" w:cs="宋体"/>
          <w:szCs w:val="21"/>
          <w:highlight w:val="none"/>
        </w:rPr>
      </w:pPr>
    </w:p>
    <w:p w14:paraId="4676C399">
      <w:pPr>
        <w:pageBreakBefore w:val="0"/>
        <w:kinsoku/>
        <w:wordWrap w:val="0"/>
        <w:overflowPunct/>
        <w:bidi w:val="0"/>
        <w:ind w:firstLine="480"/>
        <w:jc w:val="center"/>
        <w:rPr>
          <w:rFonts w:hint="eastAsia" w:ascii="宋体" w:hAnsi="宋体" w:cs="宋体"/>
          <w:szCs w:val="21"/>
          <w:highlight w:val="none"/>
        </w:rPr>
      </w:pPr>
      <w:r>
        <w:rPr>
          <w:rFonts w:hint="eastAsia" w:ascii="宋体" w:hAnsi="宋体" w:cs="宋体"/>
          <w:szCs w:val="21"/>
          <w:highlight w:val="none"/>
        </w:rPr>
        <w:drawing>
          <wp:inline distT="0" distB="0" distL="114300" distR="114300">
            <wp:extent cx="3429000" cy="3429000"/>
            <wp:effectExtent l="0" t="0" r="0" b="0"/>
            <wp:docPr id="3" name="图片 3" descr="1655026b1a1f0cbc839dd1665ca8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55026b1a1f0cbc839dd1665ca87714"/>
                    <pic:cNvPicPr>
                      <a:picLocks noChangeAspect="1"/>
                    </pic:cNvPicPr>
                  </pic:nvPicPr>
                  <pic:blipFill>
                    <a:blip r:embed="rId6"/>
                    <a:stretch>
                      <a:fillRect/>
                    </a:stretch>
                  </pic:blipFill>
                  <pic:spPr>
                    <a:xfrm>
                      <a:off x="0" y="0"/>
                      <a:ext cx="3429000" cy="3429000"/>
                    </a:xfrm>
                    <a:prstGeom prst="rect">
                      <a:avLst/>
                    </a:prstGeom>
                    <a:noFill/>
                    <a:ln>
                      <a:noFill/>
                    </a:ln>
                  </pic:spPr>
                </pic:pic>
              </a:graphicData>
            </a:graphic>
          </wp:inline>
        </w:drawing>
      </w:r>
    </w:p>
    <w:p w14:paraId="79F47CF2">
      <w:pPr>
        <w:pageBreakBefore w:val="0"/>
        <w:kinsoku/>
        <w:wordWrap w:val="0"/>
        <w:overflowPunct/>
        <w:bidi w:val="0"/>
        <w:spacing w:line="400" w:lineRule="exact"/>
        <w:ind w:firstLine="480"/>
        <w:rPr>
          <w:rFonts w:hint="eastAsia" w:ascii="宋体" w:hAnsi="宋体" w:cs="宋体"/>
          <w:bCs/>
          <w:szCs w:val="21"/>
          <w:highlight w:val="none"/>
        </w:rPr>
      </w:pPr>
    </w:p>
    <w:p w14:paraId="7CE11105">
      <w:pPr>
        <w:snapToGrid w:val="0"/>
        <w:spacing w:line="360" w:lineRule="auto"/>
        <w:ind w:firstLine="482" w:firstLineChars="200"/>
        <w:jc w:val="left"/>
        <w:textAlignment w:val="baseline"/>
        <w:rPr>
          <w:rFonts w:hint="eastAsia" w:ascii="宋体" w:hAnsi="宋体" w:cs="宋体"/>
          <w:sz w:val="22"/>
          <w:szCs w:val="22"/>
          <w:highlight w:val="none"/>
          <w:lang w:bidi="ar"/>
        </w:rPr>
      </w:pPr>
      <w:r>
        <w:rPr>
          <w:rFonts w:hint="eastAsia" w:ascii="宋体" w:hAnsi="宋体" w:eastAsia="宋体" w:cs="宋体"/>
          <w:b/>
          <w:color w:val="auto"/>
          <w:sz w:val="24"/>
          <w:szCs w:val="24"/>
          <w:highlight w:val="none"/>
        </w:rPr>
        <w:t>请务必预留充足时间，如不能在截止时间前递交</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文件，后果自行承担。</w:t>
      </w:r>
    </w:p>
    <w:p w14:paraId="68378F65">
      <w:pPr>
        <w:adjustRightInd w:val="0"/>
        <w:snapToGrid w:val="0"/>
        <w:spacing w:line="360" w:lineRule="auto"/>
        <w:ind w:firstLine="480" w:firstLineChars="200"/>
        <w:rPr>
          <w:rFonts w:hint="eastAsia" w:ascii="宋体" w:hAnsi="宋体" w:cs="宋体"/>
          <w:color w:val="auto"/>
          <w:sz w:val="24"/>
          <w:szCs w:val="24"/>
          <w:highlight w:val="none"/>
        </w:rPr>
      </w:pPr>
    </w:p>
    <w:p w14:paraId="077824B6">
      <w:pPr>
        <w:snapToGrid w:val="0"/>
        <w:spacing w:line="360" w:lineRule="auto"/>
        <w:ind w:firstLine="480" w:firstLineChars="200"/>
        <w:jc w:val="left"/>
        <w:textAlignment w:val="baseline"/>
        <w:rPr>
          <w:rFonts w:hint="eastAsia" w:ascii="宋体" w:hAnsi="宋体" w:cs="宋体"/>
          <w:sz w:val="24"/>
          <w:szCs w:val="24"/>
          <w:lang w:bidi="ar"/>
        </w:rPr>
      </w:pPr>
    </w:p>
    <w:p w14:paraId="09F84858">
      <w:pPr>
        <w:rPr>
          <w:color w:val="000000" w:themeColor="text1"/>
          <w14:textFill>
            <w14:solidFill>
              <w14:schemeClr w14:val="tx1"/>
            </w14:solidFill>
          </w14:textFill>
        </w:rPr>
      </w:pPr>
      <w:r>
        <w:rPr>
          <w:color w:val="000000" w:themeColor="text1"/>
          <w14:textFill>
            <w14:solidFill>
              <w14:schemeClr w14:val="tx1"/>
            </w14:solidFill>
          </w14:textFill>
        </w:rPr>
        <w:br w:type="page"/>
      </w:r>
    </w:p>
    <w:p w14:paraId="14FC04C7">
      <w:pPr>
        <w:pStyle w:val="267"/>
        <w:rPr>
          <w:color w:val="000000" w:themeColor="text1"/>
          <w14:textFill>
            <w14:solidFill>
              <w14:schemeClr w14:val="tx1"/>
            </w14:solidFill>
          </w14:textFill>
        </w:rPr>
      </w:pPr>
      <w:r>
        <w:rPr>
          <w:color w:val="000000" w:themeColor="text1"/>
          <w14:textFill>
            <w14:solidFill>
              <w14:schemeClr w14:val="tx1"/>
            </w14:solidFill>
          </w14:textFill>
        </w:rPr>
        <w:t>第五章  合同主要条款及格式</w:t>
      </w:r>
    </w:p>
    <w:p w14:paraId="23501199">
      <w:pPr>
        <w:pStyle w:val="17"/>
        <w:spacing w:line="360" w:lineRule="auto"/>
        <w:ind w:firstLine="480"/>
        <w:rPr>
          <w:color w:val="000000" w:themeColor="text1"/>
          <w14:textFill>
            <w14:solidFill>
              <w14:schemeClr w14:val="tx1"/>
            </w14:solidFill>
          </w14:textFill>
        </w:rPr>
      </w:pPr>
      <w:bookmarkStart w:id="9" w:name="_Toc20823315"/>
      <w:bookmarkStart w:id="10" w:name="_Toc513029243"/>
      <w:bookmarkStart w:id="11" w:name="_Toc16938559"/>
      <w:r>
        <w:rPr>
          <w:color w:val="000000" w:themeColor="text1"/>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9"/>
    <w:bookmarkEnd w:id="10"/>
    <w:bookmarkEnd w:id="11"/>
    <w:p w14:paraId="51BFE31D">
      <w:pPr>
        <w:widowControl/>
        <w:snapToGrid w:val="0"/>
        <w:spacing w:before="19"/>
        <w:ind w:left="-358" w:leftChars="-255" w:right="-334" w:rightChars="-159" w:hanging="177" w:hangingChars="49"/>
        <w:jc w:val="center"/>
        <w:rPr>
          <w:rFonts w:ascii="Times New Roman" w:hAnsi="Times New Roman" w:eastAsia="仿宋_GB2312"/>
          <w:b/>
          <w:sz w:val="36"/>
        </w:rPr>
      </w:pPr>
      <w:bookmarkStart w:id="12" w:name="_Hlt16619369"/>
      <w:bookmarkEnd w:id="12"/>
      <w:r>
        <w:rPr>
          <w:rFonts w:ascii="Times New Roman" w:hAnsi="Times New Roman" w:eastAsia="仿宋_GB2312"/>
          <w:b/>
          <w:sz w:val="36"/>
        </w:rPr>
        <w:t>南京邮电大学采购合同</w:t>
      </w:r>
    </w:p>
    <w:p w14:paraId="4978A2C8">
      <w:pPr>
        <w:wordWrap w:val="0"/>
        <w:spacing w:line="240" w:lineRule="atLeast"/>
        <w:rPr>
          <w:rFonts w:ascii="Times New Roman" w:hAnsi="Times New Roman"/>
          <w:sz w:val="24"/>
        </w:rPr>
      </w:pPr>
      <w:r>
        <w:rPr>
          <w:rFonts w:ascii="Times New Roman" w:hAnsi="Times New Roman"/>
          <w:sz w:val="24"/>
        </w:rPr>
        <w:t>甲方：南京邮电大学                             签订地点：南京邮电大学</w:t>
      </w:r>
    </w:p>
    <w:p w14:paraId="3409A4EE">
      <w:pPr>
        <w:widowControl/>
        <w:snapToGrid w:val="0"/>
        <w:spacing w:before="19"/>
        <w:rPr>
          <w:rFonts w:ascii="Times New Roman" w:hAnsi="Times New Roman"/>
          <w:sz w:val="24"/>
        </w:rPr>
      </w:pPr>
      <w:r>
        <w:rPr>
          <w:rFonts w:ascii="Times New Roman" w:hAnsi="Times New Roman"/>
          <w:sz w:val="24"/>
        </w:rPr>
        <w:t xml:space="preserve">乙方：                                          </w:t>
      </w:r>
    </w:p>
    <w:p w14:paraId="710902DE">
      <w:pPr>
        <w:widowControl/>
        <w:snapToGrid w:val="0"/>
        <w:spacing w:before="19"/>
        <w:rPr>
          <w:rFonts w:ascii="Times New Roman" w:hAnsi="Times New Roman"/>
          <w:sz w:val="24"/>
        </w:rPr>
      </w:pPr>
      <w:r>
        <w:rPr>
          <w:rFonts w:ascii="Times New Roman" w:hAnsi="Times New Roman"/>
          <w:sz w:val="24"/>
        </w:rPr>
        <w:t xml:space="preserve">    甲乙双方根据</w:t>
      </w:r>
      <w:r>
        <w:rPr>
          <w:rFonts w:ascii="Times New Roman" w:hAnsi="Times New Roman"/>
          <w:sz w:val="24"/>
          <w:u w:val="single"/>
        </w:rPr>
        <w:t xml:space="preserve">                  </w:t>
      </w:r>
      <w:r>
        <w:rPr>
          <w:rFonts w:ascii="Times New Roman" w:hAnsi="Times New Roman"/>
          <w:sz w:val="24"/>
        </w:rPr>
        <w:t>项目采购结果,依据《中华人民共和国民法典》合同编及相关法律规定，达成如下货物购销合同:</w:t>
      </w:r>
    </w:p>
    <w:p w14:paraId="01BFF8A3">
      <w:pPr>
        <w:widowControl/>
        <w:snapToGrid w:val="0"/>
        <w:spacing w:before="19"/>
        <w:rPr>
          <w:rFonts w:ascii="Times New Roman" w:hAnsi="Times New Roman"/>
          <w:sz w:val="24"/>
        </w:rPr>
      </w:pPr>
      <w:r>
        <w:rPr>
          <w:rFonts w:ascii="Times New Roman" w:hAnsi="Times New Roman"/>
          <w:sz w:val="24"/>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322290F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3CB22D9A">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编号</w:t>
            </w:r>
          </w:p>
        </w:tc>
        <w:tc>
          <w:tcPr>
            <w:tcW w:w="1260" w:type="dxa"/>
            <w:tcBorders>
              <w:top w:val="single" w:color="auto" w:sz="18" w:space="0"/>
              <w:bottom w:val="single" w:color="auto" w:sz="18" w:space="0"/>
            </w:tcBorders>
            <w:shd w:val="pct10" w:color="auto" w:fill="FFFFFF"/>
            <w:vAlign w:val="center"/>
          </w:tcPr>
          <w:p w14:paraId="1A8C431E">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货物名称</w:t>
            </w:r>
          </w:p>
        </w:tc>
        <w:tc>
          <w:tcPr>
            <w:tcW w:w="4320" w:type="dxa"/>
            <w:tcBorders>
              <w:top w:val="single" w:color="auto" w:sz="18" w:space="0"/>
              <w:bottom w:val="single" w:color="auto" w:sz="18" w:space="0"/>
            </w:tcBorders>
            <w:shd w:val="pct10" w:color="auto" w:fill="FFFFFF"/>
            <w:vAlign w:val="center"/>
          </w:tcPr>
          <w:p w14:paraId="11F79C09">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规 格 型 号（品牌）</w:t>
            </w:r>
          </w:p>
        </w:tc>
        <w:tc>
          <w:tcPr>
            <w:tcW w:w="1080" w:type="dxa"/>
            <w:tcBorders>
              <w:top w:val="single" w:color="auto" w:sz="18" w:space="0"/>
              <w:bottom w:val="single" w:color="auto" w:sz="18" w:space="0"/>
            </w:tcBorders>
            <w:shd w:val="pct10" w:color="auto" w:fill="FFFFFF"/>
            <w:vAlign w:val="center"/>
          </w:tcPr>
          <w:p w14:paraId="6329B958">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52B84806">
            <w:pPr>
              <w:snapToGrid w:val="0"/>
              <w:spacing w:line="240" w:lineRule="atLeast"/>
              <w:jc w:val="center"/>
              <w:rPr>
                <w:rFonts w:ascii="Times New Roman" w:hAnsi="Times New Roman" w:eastAsia="楷体_GB2312"/>
                <w:b/>
                <w:sz w:val="24"/>
              </w:rPr>
            </w:pPr>
            <w:r>
              <w:rPr>
                <w:rFonts w:ascii="Times New Roman" w:hAnsi="Times New Roman" w:eastAsia="楷体_GB2312"/>
                <w:b/>
                <w:sz w:val="24"/>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02AFECF8">
            <w:pPr>
              <w:widowControl/>
              <w:jc w:val="left"/>
              <w:rPr>
                <w:rFonts w:ascii="Times New Roman" w:hAnsi="Times New Roman" w:eastAsia="楷体_GB2312"/>
                <w:b/>
                <w:sz w:val="24"/>
              </w:rPr>
            </w:pPr>
            <w:r>
              <w:rPr>
                <w:rFonts w:ascii="Times New Roman" w:hAnsi="Times New Roman" w:eastAsia="楷体_GB2312"/>
                <w:b/>
                <w:sz w:val="24"/>
              </w:rPr>
              <w:t>总价（元）</w:t>
            </w:r>
          </w:p>
        </w:tc>
      </w:tr>
      <w:tr w14:paraId="706339D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731FB695">
            <w:pPr>
              <w:snapToGrid w:val="0"/>
              <w:spacing w:line="600" w:lineRule="atLeast"/>
              <w:rPr>
                <w:rFonts w:ascii="Times New Roman" w:hAnsi="Times New Roman"/>
                <w:b/>
                <w:sz w:val="24"/>
              </w:rPr>
            </w:pPr>
            <w:r>
              <w:rPr>
                <w:rFonts w:ascii="Times New Roman" w:hAnsi="Times New Roman"/>
                <w:b/>
                <w:sz w:val="24"/>
              </w:rPr>
              <w:t>1</w:t>
            </w:r>
          </w:p>
        </w:tc>
        <w:tc>
          <w:tcPr>
            <w:tcW w:w="1260" w:type="dxa"/>
            <w:tcBorders>
              <w:top w:val="nil"/>
              <w:bottom w:val="single" w:color="auto" w:sz="4" w:space="0"/>
            </w:tcBorders>
            <w:vAlign w:val="center"/>
          </w:tcPr>
          <w:p w14:paraId="22AC7016">
            <w:pPr>
              <w:snapToGrid w:val="0"/>
              <w:spacing w:line="600" w:lineRule="atLeast"/>
              <w:jc w:val="center"/>
              <w:rPr>
                <w:rFonts w:ascii="Times New Roman" w:hAnsi="Times New Roman"/>
              </w:rPr>
            </w:pPr>
          </w:p>
        </w:tc>
        <w:tc>
          <w:tcPr>
            <w:tcW w:w="4320" w:type="dxa"/>
            <w:tcBorders>
              <w:top w:val="nil"/>
              <w:bottom w:val="single" w:color="auto" w:sz="4" w:space="0"/>
            </w:tcBorders>
            <w:vAlign w:val="center"/>
          </w:tcPr>
          <w:p w14:paraId="4C54BC81">
            <w:pPr>
              <w:spacing w:line="360" w:lineRule="auto"/>
              <w:rPr>
                <w:rFonts w:ascii="Times New Roman" w:hAnsi="Times New Roman"/>
                <w:color w:val="000000"/>
                <w:szCs w:val="21"/>
              </w:rPr>
            </w:pPr>
          </w:p>
        </w:tc>
        <w:tc>
          <w:tcPr>
            <w:tcW w:w="1080" w:type="dxa"/>
            <w:tcBorders>
              <w:top w:val="nil"/>
              <w:bottom w:val="single" w:color="auto" w:sz="4" w:space="0"/>
            </w:tcBorders>
            <w:vAlign w:val="center"/>
          </w:tcPr>
          <w:p w14:paraId="69D089C3">
            <w:pPr>
              <w:snapToGrid w:val="0"/>
              <w:spacing w:line="600" w:lineRule="atLeast"/>
              <w:ind w:firstLine="118" w:firstLineChars="49"/>
              <w:rPr>
                <w:rFonts w:ascii="Times New Roman" w:hAnsi="Times New Roman"/>
                <w:b/>
                <w:sz w:val="24"/>
              </w:rPr>
            </w:pPr>
          </w:p>
        </w:tc>
        <w:tc>
          <w:tcPr>
            <w:tcW w:w="1080" w:type="dxa"/>
            <w:tcBorders>
              <w:top w:val="nil"/>
              <w:bottom w:val="single" w:color="auto" w:sz="4" w:space="0"/>
              <w:right w:val="single" w:color="auto" w:sz="4" w:space="0"/>
            </w:tcBorders>
            <w:vAlign w:val="center"/>
          </w:tcPr>
          <w:p w14:paraId="0041E312">
            <w:pPr>
              <w:spacing w:line="240" w:lineRule="atLeast"/>
              <w:jc w:val="center"/>
              <w:rPr>
                <w:rFonts w:ascii="Times New Roman" w:hAnsi="Times New Roman"/>
                <w:b/>
              </w:rPr>
            </w:pPr>
          </w:p>
        </w:tc>
        <w:tc>
          <w:tcPr>
            <w:tcW w:w="1260" w:type="dxa"/>
            <w:tcBorders>
              <w:top w:val="nil"/>
              <w:bottom w:val="single" w:color="auto" w:sz="4" w:space="0"/>
              <w:right w:val="single" w:color="auto" w:sz="4" w:space="0"/>
            </w:tcBorders>
            <w:vAlign w:val="center"/>
          </w:tcPr>
          <w:p w14:paraId="7AB0EC39">
            <w:pPr>
              <w:spacing w:line="360" w:lineRule="auto"/>
              <w:rPr>
                <w:rFonts w:ascii="Times New Roman" w:hAnsi="Times New Roman"/>
              </w:rPr>
            </w:pPr>
          </w:p>
        </w:tc>
      </w:tr>
      <w:tr w14:paraId="08DA7DB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29B00F48">
            <w:pPr>
              <w:snapToGrid w:val="0"/>
              <w:spacing w:line="600" w:lineRule="atLeast"/>
              <w:rPr>
                <w:rFonts w:ascii="Times New Roman" w:hAnsi="Times New Roman"/>
                <w:b/>
                <w:sz w:val="24"/>
              </w:rPr>
            </w:pPr>
            <w:r>
              <w:rPr>
                <w:rFonts w:ascii="Times New Roman" w:hAnsi="Times New Roman"/>
                <w:b/>
                <w:sz w:val="24"/>
              </w:rPr>
              <w:t>2</w:t>
            </w:r>
          </w:p>
        </w:tc>
        <w:tc>
          <w:tcPr>
            <w:tcW w:w="1260" w:type="dxa"/>
            <w:tcBorders>
              <w:top w:val="single" w:color="auto" w:sz="4" w:space="0"/>
              <w:bottom w:val="single" w:color="auto" w:sz="4" w:space="0"/>
            </w:tcBorders>
            <w:vAlign w:val="center"/>
          </w:tcPr>
          <w:p w14:paraId="62470CF4">
            <w:pPr>
              <w:snapToGrid w:val="0"/>
              <w:spacing w:line="600" w:lineRule="atLeast"/>
              <w:jc w:val="center"/>
              <w:rPr>
                <w:rFonts w:ascii="Times New Roman" w:hAnsi="Times New Roman"/>
              </w:rPr>
            </w:pPr>
          </w:p>
        </w:tc>
        <w:tc>
          <w:tcPr>
            <w:tcW w:w="4320" w:type="dxa"/>
            <w:tcBorders>
              <w:top w:val="single" w:color="auto" w:sz="4" w:space="0"/>
              <w:bottom w:val="single" w:color="auto" w:sz="4" w:space="0"/>
            </w:tcBorders>
            <w:vAlign w:val="center"/>
          </w:tcPr>
          <w:p w14:paraId="5AC8D7A3">
            <w:pPr>
              <w:spacing w:line="360" w:lineRule="auto"/>
              <w:rPr>
                <w:rFonts w:ascii="Times New Roman" w:hAnsi="Times New Roman"/>
                <w:b/>
                <w:sz w:val="18"/>
                <w:szCs w:val="18"/>
              </w:rPr>
            </w:pPr>
          </w:p>
        </w:tc>
        <w:tc>
          <w:tcPr>
            <w:tcW w:w="1080" w:type="dxa"/>
            <w:tcBorders>
              <w:top w:val="single" w:color="auto" w:sz="4" w:space="0"/>
              <w:bottom w:val="single" w:color="auto" w:sz="4" w:space="0"/>
            </w:tcBorders>
            <w:vAlign w:val="center"/>
          </w:tcPr>
          <w:p w14:paraId="660570BD">
            <w:pPr>
              <w:snapToGrid w:val="0"/>
              <w:spacing w:line="600" w:lineRule="atLeast"/>
              <w:ind w:firstLine="118" w:firstLineChars="49"/>
              <w:rPr>
                <w:rFonts w:ascii="Times New Roman" w:hAnsi="Times New Roman"/>
                <w:b/>
                <w:sz w:val="24"/>
              </w:rPr>
            </w:pPr>
          </w:p>
        </w:tc>
        <w:tc>
          <w:tcPr>
            <w:tcW w:w="1080" w:type="dxa"/>
            <w:tcBorders>
              <w:top w:val="single" w:color="auto" w:sz="4" w:space="0"/>
              <w:bottom w:val="single" w:color="auto" w:sz="4" w:space="0"/>
              <w:right w:val="single" w:color="auto" w:sz="4" w:space="0"/>
            </w:tcBorders>
            <w:vAlign w:val="center"/>
          </w:tcPr>
          <w:p w14:paraId="79C2EB68">
            <w:pPr>
              <w:snapToGrid w:val="0"/>
              <w:spacing w:line="600" w:lineRule="atLeast"/>
              <w:ind w:firstLine="118" w:firstLineChars="49"/>
              <w:rPr>
                <w:rFonts w:ascii="Times New Roman" w:hAnsi="Times New Roman"/>
                <w:b/>
                <w:sz w:val="24"/>
              </w:rPr>
            </w:pPr>
          </w:p>
        </w:tc>
        <w:tc>
          <w:tcPr>
            <w:tcW w:w="1260" w:type="dxa"/>
            <w:tcBorders>
              <w:top w:val="single" w:color="auto" w:sz="4" w:space="0"/>
              <w:bottom w:val="single" w:color="auto" w:sz="4" w:space="0"/>
              <w:right w:val="single" w:color="auto" w:sz="4" w:space="0"/>
            </w:tcBorders>
            <w:vAlign w:val="center"/>
          </w:tcPr>
          <w:p w14:paraId="45CDF270">
            <w:pPr>
              <w:spacing w:line="360" w:lineRule="auto"/>
              <w:rPr>
                <w:rFonts w:ascii="Times New Roman" w:hAnsi="Times New Roman"/>
              </w:rPr>
            </w:pPr>
          </w:p>
        </w:tc>
      </w:tr>
      <w:tr w14:paraId="599B9EB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4114C252">
            <w:pPr>
              <w:snapToGrid w:val="0"/>
              <w:spacing w:line="600" w:lineRule="atLeast"/>
              <w:rPr>
                <w:rFonts w:ascii="Times New Roman" w:hAnsi="Times New Roman"/>
                <w:b/>
                <w:sz w:val="24"/>
              </w:rPr>
            </w:pPr>
            <w:r>
              <w:rPr>
                <w:rFonts w:ascii="Times New Roman" w:hAnsi="Times New Roman"/>
                <w:b/>
                <w:sz w:val="24"/>
              </w:rPr>
              <w:t>3</w:t>
            </w:r>
          </w:p>
        </w:tc>
        <w:tc>
          <w:tcPr>
            <w:tcW w:w="1260" w:type="dxa"/>
            <w:tcBorders>
              <w:top w:val="single" w:color="auto" w:sz="4" w:space="0"/>
              <w:bottom w:val="single" w:color="auto" w:sz="4" w:space="0"/>
            </w:tcBorders>
            <w:vAlign w:val="center"/>
          </w:tcPr>
          <w:p w14:paraId="546FA785">
            <w:pPr>
              <w:snapToGrid w:val="0"/>
              <w:spacing w:line="600" w:lineRule="atLeast"/>
              <w:jc w:val="center"/>
              <w:rPr>
                <w:rFonts w:ascii="Times New Roman" w:hAnsi="Times New Roman"/>
              </w:rPr>
            </w:pPr>
          </w:p>
        </w:tc>
        <w:tc>
          <w:tcPr>
            <w:tcW w:w="4320" w:type="dxa"/>
            <w:tcBorders>
              <w:top w:val="single" w:color="auto" w:sz="4" w:space="0"/>
              <w:bottom w:val="single" w:color="auto" w:sz="4" w:space="0"/>
            </w:tcBorders>
            <w:vAlign w:val="center"/>
          </w:tcPr>
          <w:p w14:paraId="5A7A6A16">
            <w:pPr>
              <w:spacing w:line="360" w:lineRule="auto"/>
              <w:rPr>
                <w:rFonts w:ascii="Times New Roman" w:hAnsi="Times New Roman"/>
                <w:b/>
                <w:sz w:val="18"/>
                <w:szCs w:val="18"/>
              </w:rPr>
            </w:pPr>
          </w:p>
        </w:tc>
        <w:tc>
          <w:tcPr>
            <w:tcW w:w="1080" w:type="dxa"/>
            <w:tcBorders>
              <w:top w:val="single" w:color="auto" w:sz="4" w:space="0"/>
              <w:bottom w:val="single" w:color="auto" w:sz="4" w:space="0"/>
            </w:tcBorders>
            <w:vAlign w:val="center"/>
          </w:tcPr>
          <w:p w14:paraId="2544C6DA">
            <w:pPr>
              <w:snapToGrid w:val="0"/>
              <w:spacing w:line="600" w:lineRule="atLeast"/>
              <w:ind w:firstLine="118" w:firstLineChars="49"/>
              <w:rPr>
                <w:rFonts w:ascii="Times New Roman" w:hAnsi="Times New Roman"/>
                <w:b/>
                <w:sz w:val="24"/>
              </w:rPr>
            </w:pPr>
          </w:p>
        </w:tc>
        <w:tc>
          <w:tcPr>
            <w:tcW w:w="1080" w:type="dxa"/>
            <w:tcBorders>
              <w:top w:val="single" w:color="auto" w:sz="4" w:space="0"/>
              <w:bottom w:val="single" w:color="auto" w:sz="4" w:space="0"/>
              <w:right w:val="single" w:color="auto" w:sz="4" w:space="0"/>
            </w:tcBorders>
            <w:vAlign w:val="center"/>
          </w:tcPr>
          <w:p w14:paraId="5A8D7282">
            <w:pPr>
              <w:snapToGrid w:val="0"/>
              <w:spacing w:line="600" w:lineRule="atLeast"/>
              <w:ind w:firstLine="118" w:firstLineChars="49"/>
              <w:rPr>
                <w:rFonts w:ascii="Times New Roman" w:hAnsi="Times New Roman"/>
                <w:b/>
                <w:sz w:val="24"/>
              </w:rPr>
            </w:pPr>
          </w:p>
        </w:tc>
        <w:tc>
          <w:tcPr>
            <w:tcW w:w="1260" w:type="dxa"/>
            <w:tcBorders>
              <w:top w:val="single" w:color="auto" w:sz="4" w:space="0"/>
              <w:bottom w:val="single" w:color="auto" w:sz="4" w:space="0"/>
              <w:right w:val="single" w:color="auto" w:sz="4" w:space="0"/>
            </w:tcBorders>
            <w:vAlign w:val="center"/>
          </w:tcPr>
          <w:p w14:paraId="7F6ED2D8">
            <w:pPr>
              <w:spacing w:line="360" w:lineRule="auto"/>
              <w:rPr>
                <w:rFonts w:ascii="Times New Roman" w:hAnsi="Times New Roman"/>
              </w:rPr>
            </w:pPr>
          </w:p>
        </w:tc>
      </w:tr>
      <w:tr w14:paraId="6DA90FC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42245182">
            <w:pPr>
              <w:rPr>
                <w:rFonts w:ascii="Times New Roman" w:hAnsi="Times New Roman"/>
              </w:rPr>
            </w:pPr>
            <w:r>
              <w:rPr>
                <w:rFonts w:ascii="Times New Roman" w:hAnsi="Times New Roman"/>
                <w:b/>
                <w:sz w:val="18"/>
                <w:szCs w:val="18"/>
              </w:rPr>
              <w:t xml:space="preserve">总价（人民币大写）：                                     </w:t>
            </w:r>
            <w:r>
              <w:rPr>
                <w:rFonts w:ascii="Times New Roman" w:hAnsi="Times New Roman"/>
              </w:rPr>
              <w:t>合计（小写）：        元</w:t>
            </w:r>
          </w:p>
          <w:p w14:paraId="0657B435">
            <w:pPr>
              <w:rPr>
                <w:rFonts w:ascii="Times New Roman" w:hAnsi="Times New Roman"/>
              </w:rPr>
            </w:pPr>
            <w:r>
              <w:rPr>
                <w:rFonts w:ascii="Times New Roman" w:hAnsi="Times New Roman"/>
                <w:sz w:val="18"/>
              </w:rPr>
              <w:t>本合同总价款是货物设计、制造、包装、仓储、运输、安装及验收合格之前以及质保期内备品备件发生的所有含税费用。本合同总价款还包含乙方应当提供的伴随服务/售后服务费用。</w:t>
            </w:r>
          </w:p>
        </w:tc>
      </w:tr>
    </w:tbl>
    <w:p w14:paraId="09CEF374">
      <w:pPr>
        <w:widowControl/>
        <w:snapToGrid w:val="0"/>
        <w:spacing w:before="19" w:line="400" w:lineRule="exact"/>
        <w:rPr>
          <w:rFonts w:ascii="Times New Roman" w:hAnsi="Times New Roman"/>
          <w:sz w:val="24"/>
        </w:rPr>
      </w:pPr>
      <w:r>
        <w:rPr>
          <w:rFonts w:ascii="Times New Roman" w:hAnsi="Times New Roman"/>
          <w:sz w:val="24"/>
        </w:rPr>
        <w:t>二、交货时间：</w:t>
      </w:r>
      <w:r>
        <w:rPr>
          <w:rFonts w:ascii="Times New Roman" w:hAnsi="Times New Roman"/>
          <w:sz w:val="24"/>
          <w:u w:val="single"/>
        </w:rPr>
        <w:t xml:space="preserve"> 在甲方指定时间供货。</w:t>
      </w:r>
    </w:p>
    <w:p w14:paraId="635E586B">
      <w:pPr>
        <w:widowControl/>
        <w:snapToGrid w:val="0"/>
        <w:spacing w:before="19" w:line="400" w:lineRule="exact"/>
        <w:rPr>
          <w:rFonts w:ascii="Times New Roman" w:hAnsi="Times New Roman"/>
          <w:sz w:val="24"/>
          <w:szCs w:val="24"/>
        </w:rPr>
      </w:pPr>
      <w:r>
        <w:rPr>
          <w:rFonts w:ascii="Times New Roman" w:hAnsi="Times New Roman"/>
          <w:sz w:val="24"/>
          <w:szCs w:val="24"/>
        </w:rPr>
        <w:t>三、交货地点：由乙方负责运输至</w:t>
      </w:r>
      <w:r>
        <w:rPr>
          <w:rFonts w:ascii="Times New Roman" w:hAnsi="Times New Roman"/>
          <w:sz w:val="24"/>
          <w:szCs w:val="24"/>
          <w:u w:val="single"/>
        </w:rPr>
        <w:t>甲方指定地点。</w:t>
      </w:r>
    </w:p>
    <w:p w14:paraId="3572F250">
      <w:pPr>
        <w:widowControl/>
        <w:snapToGrid w:val="0"/>
        <w:spacing w:before="19" w:line="400" w:lineRule="exact"/>
        <w:rPr>
          <w:rFonts w:ascii="Times New Roman" w:hAnsi="Times New Roman"/>
          <w:sz w:val="24"/>
          <w:szCs w:val="24"/>
        </w:rPr>
      </w:pPr>
      <w:r>
        <w:rPr>
          <w:rFonts w:ascii="Times New Roman" w:hAnsi="Times New Roman"/>
          <w:sz w:val="24"/>
          <w:szCs w:val="24"/>
        </w:rPr>
        <w:t>四、合同定价方式及付款方式</w:t>
      </w:r>
    </w:p>
    <w:p w14:paraId="15C6C10E">
      <w:pPr>
        <w:adjustRightInd w:val="0"/>
        <w:snapToGrid w:val="0"/>
        <w:spacing w:line="400" w:lineRule="exact"/>
        <w:rPr>
          <w:rFonts w:ascii="Times New Roman" w:hAnsi="Times New Roman"/>
          <w:sz w:val="24"/>
          <w:szCs w:val="24"/>
        </w:rPr>
      </w:pPr>
      <w:r>
        <w:rPr>
          <w:rFonts w:ascii="Times New Roman" w:hAnsi="Times New Roman"/>
          <w:sz w:val="24"/>
          <w:szCs w:val="24"/>
        </w:rPr>
        <w:t>1.合同定价方式：</w:t>
      </w:r>
    </w:p>
    <w:p w14:paraId="04E8EF56">
      <w:pPr>
        <w:adjustRightInd w:val="0"/>
        <w:snapToGrid w:val="0"/>
        <w:spacing w:line="400" w:lineRule="exact"/>
        <w:rPr>
          <w:rFonts w:ascii="Times New Roman" w:hAnsi="Times New Roman"/>
          <w:sz w:val="24"/>
          <w:szCs w:val="24"/>
        </w:rPr>
      </w:pPr>
      <w:r>
        <w:rPr>
          <w:rFonts w:ascii="Times New Roman" w:hAnsi="Times New Roman"/>
          <w:iCs/>
          <w:sz w:val="24"/>
          <w:szCs w:val="24"/>
        </w:rPr>
        <w:sym w:font="Wingdings" w:char="00A8"/>
      </w:r>
      <w:r>
        <w:rPr>
          <w:rFonts w:ascii="Times New Roman" w:hAnsi="Times New Roman"/>
          <w:iCs/>
          <w:sz w:val="24"/>
          <w:szCs w:val="24"/>
        </w:rPr>
        <w:t xml:space="preserve">固定总价     </w:t>
      </w:r>
      <w:r>
        <w:rPr>
          <w:rFonts w:ascii="Times New Roman" w:hAnsi="Times New Roman"/>
          <w:iCs/>
          <w:sz w:val="24"/>
          <w:szCs w:val="24"/>
        </w:rPr>
        <w:sym w:font="Wingdings" w:char="00A8"/>
      </w:r>
      <w:r>
        <w:rPr>
          <w:rFonts w:ascii="Times New Roman" w:hAnsi="Times New Roman"/>
          <w:iCs/>
          <w:sz w:val="24"/>
          <w:szCs w:val="24"/>
        </w:rPr>
        <w:t xml:space="preserve">固定单价    </w:t>
      </w:r>
      <w:r>
        <w:rPr>
          <w:rFonts w:ascii="Times New Roman" w:hAnsi="Times New Roman"/>
          <w:iCs/>
          <w:sz w:val="24"/>
          <w:szCs w:val="24"/>
        </w:rPr>
        <w:sym w:font="Wingdings" w:char="00A8"/>
      </w:r>
      <w:r>
        <w:rPr>
          <w:rFonts w:ascii="Times New Roman" w:hAnsi="Times New Roman"/>
          <w:iCs/>
          <w:sz w:val="24"/>
          <w:szCs w:val="24"/>
        </w:rPr>
        <w:t xml:space="preserve">固定费率    </w:t>
      </w:r>
      <w:r>
        <w:rPr>
          <w:rFonts w:ascii="Times New Roman" w:hAnsi="Times New Roman"/>
          <w:iCs/>
          <w:sz w:val="24"/>
          <w:szCs w:val="24"/>
        </w:rPr>
        <w:sym w:font="Wingdings" w:char="00A8"/>
      </w:r>
      <w:r>
        <w:rPr>
          <w:rFonts w:ascii="Times New Roman" w:hAnsi="Times New Roman"/>
          <w:iCs/>
          <w:sz w:val="24"/>
          <w:szCs w:val="24"/>
        </w:rPr>
        <w:t>其他</w:t>
      </w:r>
      <w:r>
        <w:rPr>
          <w:rFonts w:ascii="Times New Roman" w:hAnsi="Times New Roman"/>
          <w:sz w:val="24"/>
          <w:szCs w:val="24"/>
          <w:u w:val="single"/>
        </w:rPr>
        <w:t xml:space="preserve">       </w:t>
      </w:r>
    </w:p>
    <w:p w14:paraId="77326106">
      <w:pPr>
        <w:widowControl/>
        <w:snapToGrid w:val="0"/>
        <w:spacing w:before="19" w:line="400" w:lineRule="exact"/>
        <w:rPr>
          <w:rFonts w:ascii="Times New Roman" w:hAnsi="Times New Roman"/>
          <w:sz w:val="24"/>
          <w:szCs w:val="24"/>
        </w:rPr>
      </w:pPr>
      <w:r>
        <w:rPr>
          <w:rFonts w:hint="eastAsia" w:ascii="Times New Roman" w:hAnsi="Times New Roman"/>
          <w:sz w:val="24"/>
          <w:szCs w:val="24"/>
        </w:rPr>
        <w:t>2.</w:t>
      </w:r>
      <w:r>
        <w:rPr>
          <w:rFonts w:ascii="Times New Roman" w:hAnsi="Times New Roman"/>
          <w:sz w:val="24"/>
          <w:szCs w:val="24"/>
        </w:rPr>
        <w:t>付款方式</w:t>
      </w:r>
      <w:r>
        <w:rPr>
          <w:rFonts w:hint="eastAsia" w:ascii="Times New Roman" w:hAnsi="Times New Roman"/>
          <w:sz w:val="24"/>
          <w:szCs w:val="24"/>
        </w:rPr>
        <w:t>：</w:t>
      </w:r>
    </w:p>
    <w:p w14:paraId="62C11884">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预付款： 合同签订后_______个工作日内支付合同金额的_______ % （有预付款的勾选并填写本项）；</w:t>
      </w:r>
    </w:p>
    <w:p w14:paraId="24D66B2D">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进度款： ________________________________________________________支付合同金额的_______ % （分期支付进度款的勾选并填写本项，应明确分期支付合同款项的各期比例和支付条件，各期支付条件应与履约情况挂钩）；</w:t>
      </w:r>
    </w:p>
    <w:p w14:paraId="50DA746A">
      <w:pPr>
        <w:adjustRightInd w:val="0"/>
        <w:snapToGrid w:val="0"/>
        <w:spacing w:line="400" w:lineRule="exact"/>
        <w:rPr>
          <w:rFonts w:ascii="Times New Roman" w:hAnsi="Times New Roman"/>
          <w:sz w:val="24"/>
          <w:szCs w:val="24"/>
        </w:rPr>
      </w:pPr>
      <w:r>
        <w:rPr>
          <w:rFonts w:ascii="Times New Roman" w:hAnsi="Times New Roman"/>
          <w:sz w:val="24"/>
          <w:szCs w:val="24"/>
        </w:rPr>
        <w:sym w:font="Wingdings" w:char="00FE"/>
      </w:r>
      <w:r>
        <w:rPr>
          <w:rFonts w:ascii="Times New Roman" w:hAnsi="Times New Roman"/>
          <w:sz w:val="24"/>
          <w:szCs w:val="24"/>
        </w:rPr>
        <w:t>验收合格后</w:t>
      </w:r>
      <w:r>
        <w:rPr>
          <w:rFonts w:hint="eastAsia" w:ascii="Times New Roman" w:hAnsi="Times New Roman"/>
          <w:sz w:val="24"/>
          <w:szCs w:val="24"/>
        </w:rPr>
        <w:t>30</w:t>
      </w:r>
      <w:r>
        <w:rPr>
          <w:rFonts w:ascii="Times New Roman" w:hAnsi="Times New Roman"/>
          <w:sz w:val="24"/>
          <w:szCs w:val="24"/>
        </w:rPr>
        <w:t>日内支付合同总价的_______%（支付条件应与验收情况挂钩）；</w:t>
      </w:r>
    </w:p>
    <w:p w14:paraId="67B0E2E4">
      <w:pPr>
        <w:widowControl/>
        <w:snapToGrid w:val="0"/>
        <w:spacing w:before="19" w:line="400" w:lineRule="exact"/>
        <w:rPr>
          <w:rFonts w:ascii="Times New Roman" w:hAnsi="Times New Roman"/>
          <w:sz w:val="24"/>
          <w:szCs w:val="24"/>
        </w:rPr>
      </w:pPr>
      <w:r>
        <w:rPr>
          <w:rFonts w:ascii="Times New Roman" w:hAnsi="Times New Roman"/>
          <w:sz w:val="24"/>
          <w:szCs w:val="24"/>
        </w:rPr>
        <w:sym w:font="Wingdings" w:char="00A8"/>
      </w:r>
      <w:r>
        <w:rPr>
          <w:rFonts w:ascii="Times New Roman" w:hAnsi="Times New Roman"/>
          <w:sz w:val="24"/>
          <w:szCs w:val="24"/>
        </w:rPr>
        <w:t>其他： ________________________________________________________。</w:t>
      </w:r>
    </w:p>
    <w:p w14:paraId="07FD439C">
      <w:pPr>
        <w:widowControl/>
        <w:snapToGrid w:val="0"/>
        <w:spacing w:before="19" w:line="400" w:lineRule="exact"/>
        <w:rPr>
          <w:rFonts w:ascii="Times New Roman" w:hAnsi="Times New Roman"/>
          <w:sz w:val="24"/>
          <w:szCs w:val="24"/>
        </w:rPr>
      </w:pPr>
      <w:r>
        <w:rPr>
          <w:rFonts w:ascii="Times New Roman" w:hAnsi="Times New Roman"/>
          <w:sz w:val="24"/>
          <w:szCs w:val="24"/>
        </w:rPr>
        <w:t>付款金额均不计利息。</w:t>
      </w:r>
    </w:p>
    <w:p w14:paraId="1A17780A">
      <w:pPr>
        <w:widowControl/>
        <w:snapToGrid w:val="0"/>
        <w:spacing w:before="19" w:line="400" w:lineRule="exact"/>
        <w:rPr>
          <w:rFonts w:ascii="Times New Roman" w:hAnsi="Times New Roman"/>
          <w:sz w:val="24"/>
        </w:rPr>
      </w:pPr>
      <w:r>
        <w:rPr>
          <w:rFonts w:ascii="Times New Roman" w:hAnsi="Times New Roman"/>
          <w:sz w:val="24"/>
        </w:rPr>
        <w:t>五、质保期：_______(自验收合格之日起计。</w:t>
      </w:r>
      <w:r>
        <w:rPr>
          <w:rFonts w:ascii="Times New Roman" w:hAnsi="Times New Roman"/>
          <w:kern w:val="2"/>
          <w:sz w:val="24"/>
          <w:szCs w:val="24"/>
        </w:rPr>
        <w:t>在质量保证期内所发现的缺陷，</w:t>
      </w:r>
      <w:r>
        <w:rPr>
          <w:rFonts w:hint="eastAsia" w:ascii="Times New Roman" w:hAnsi="Times New Roman"/>
          <w:kern w:val="2"/>
          <w:sz w:val="24"/>
          <w:szCs w:val="24"/>
        </w:rPr>
        <w:t>乙方</w:t>
      </w:r>
      <w:r>
        <w:rPr>
          <w:rFonts w:ascii="Times New Roman" w:hAnsi="Times New Roman"/>
          <w:kern w:val="2"/>
          <w:sz w:val="24"/>
          <w:szCs w:val="24"/>
        </w:rPr>
        <w:t>应在</w:t>
      </w:r>
      <w:r>
        <w:rPr>
          <w:rFonts w:hint="eastAsia" w:ascii="Times New Roman" w:hAnsi="Times New Roman"/>
          <w:kern w:val="2"/>
          <w:sz w:val="24"/>
          <w:szCs w:val="24"/>
        </w:rPr>
        <w:t>约定</w:t>
      </w:r>
      <w:r>
        <w:rPr>
          <w:rFonts w:ascii="Times New Roman" w:hAnsi="Times New Roman"/>
          <w:kern w:val="2"/>
          <w:sz w:val="24"/>
          <w:szCs w:val="24"/>
        </w:rPr>
        <w:t>的响应时间内以合理的速度免费维修或更换有缺陷的货物或部件</w:t>
      </w:r>
      <w:r>
        <w:rPr>
          <w:rFonts w:ascii="Times New Roman" w:hAnsi="Times New Roman"/>
          <w:sz w:val="24"/>
        </w:rPr>
        <w:t>。)</w:t>
      </w:r>
    </w:p>
    <w:p w14:paraId="1164CC3C">
      <w:pPr>
        <w:widowControl/>
        <w:snapToGrid w:val="0"/>
        <w:spacing w:before="19" w:line="400" w:lineRule="exact"/>
        <w:rPr>
          <w:rFonts w:ascii="Times New Roman" w:hAnsi="Times New Roman"/>
          <w:sz w:val="24"/>
        </w:rPr>
      </w:pPr>
      <w:r>
        <w:rPr>
          <w:rFonts w:ascii="Times New Roman" w:hAnsi="Times New Roman"/>
          <w:sz w:val="24"/>
        </w:rPr>
        <w:t>六、质量要求、技术标准、乙方对质量负责的条件和期限：</w:t>
      </w:r>
    </w:p>
    <w:p w14:paraId="62FBE0E7">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乙方所提供的货物，若技术性能无特殊说明，则按生产企业或国家有关部门最新颁布的标准及规范为准。</w:t>
      </w:r>
    </w:p>
    <w:p w14:paraId="73EFE637">
      <w:pPr>
        <w:widowControl/>
        <w:snapToGrid w:val="0"/>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555FC630">
      <w:pPr>
        <w:widowControl/>
        <w:snapToGrid w:val="0"/>
        <w:spacing w:before="19" w:line="400" w:lineRule="exact"/>
        <w:rPr>
          <w:rFonts w:ascii="Times New Roman" w:hAnsi="Times New Roman"/>
          <w:sz w:val="24"/>
        </w:rPr>
      </w:pPr>
      <w:r>
        <w:rPr>
          <w:rFonts w:ascii="Times New Roman" w:hAnsi="Times New Roman"/>
          <w:sz w:val="24"/>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5643032B">
      <w:pPr>
        <w:widowControl/>
        <w:snapToGrid w:val="0"/>
        <w:spacing w:before="19" w:line="400" w:lineRule="exact"/>
        <w:rPr>
          <w:rFonts w:ascii="Times New Roman" w:hAnsi="Times New Roman"/>
          <w:sz w:val="24"/>
        </w:rPr>
      </w:pPr>
      <w:r>
        <w:rPr>
          <w:rFonts w:ascii="Times New Roman" w:hAnsi="Times New Roman"/>
          <w:sz w:val="24"/>
        </w:rPr>
        <w:t>八、工程部分（两万元</w:t>
      </w:r>
      <w:r>
        <w:rPr>
          <w:rFonts w:hint="eastAsia" w:ascii="Times New Roman" w:hAnsi="Times New Roman"/>
          <w:sz w:val="24"/>
        </w:rPr>
        <w:t>及</w:t>
      </w:r>
      <w:r>
        <w:rPr>
          <w:rFonts w:ascii="Times New Roman" w:hAnsi="Times New Roman"/>
          <w:sz w:val="24"/>
        </w:rPr>
        <w:t>以上）需按南京邮电大学审计相关规定执行。</w:t>
      </w:r>
    </w:p>
    <w:p w14:paraId="63DD5964">
      <w:pPr>
        <w:widowControl/>
        <w:snapToGrid w:val="0"/>
        <w:spacing w:before="19" w:line="400" w:lineRule="exact"/>
        <w:rPr>
          <w:rFonts w:ascii="Times New Roman" w:hAnsi="Times New Roman"/>
          <w:sz w:val="24"/>
        </w:rPr>
      </w:pPr>
      <w:r>
        <w:rPr>
          <w:rFonts w:ascii="Times New Roman" w:hAnsi="Times New Roman"/>
          <w:sz w:val="24"/>
        </w:rPr>
        <w:t>九、本</w:t>
      </w:r>
      <w:r>
        <w:rPr>
          <w:rFonts w:hint="eastAsia" w:ascii="Times New Roman" w:hAnsi="Times New Roman"/>
          <w:sz w:val="24"/>
        </w:rPr>
        <w:t>合同</w:t>
      </w:r>
      <w:r>
        <w:rPr>
          <w:rFonts w:ascii="Times New Roman" w:hAnsi="Times New Roman"/>
          <w:sz w:val="24"/>
        </w:rPr>
        <w:t>与下列文件一起构成合同文件，如下述文件之间有任何抵触、矛盾或歧义，应按以下顺序解释：</w:t>
      </w:r>
    </w:p>
    <w:p w14:paraId="3DBB4A30">
      <w:pPr>
        <w:widowControl/>
        <w:snapToGrid w:val="0"/>
        <w:spacing w:before="19" w:line="400" w:lineRule="exact"/>
        <w:rPr>
          <w:rFonts w:ascii="Times New Roman" w:hAnsi="Times New Roman"/>
          <w:sz w:val="24"/>
        </w:rPr>
      </w:pPr>
      <w:r>
        <w:rPr>
          <w:rFonts w:hint="eastAsia" w:ascii="Times New Roman" w:hAnsi="Times New Roman"/>
          <w:sz w:val="24"/>
        </w:rPr>
        <w:t>1.本合同</w:t>
      </w:r>
      <w:r>
        <w:rPr>
          <w:rFonts w:ascii="Times New Roman" w:hAnsi="Times New Roman"/>
          <w:sz w:val="24"/>
        </w:rPr>
        <w:t>及其变更、补充协议</w:t>
      </w:r>
    </w:p>
    <w:p w14:paraId="5519ECC0">
      <w:pPr>
        <w:widowControl/>
        <w:snapToGrid w:val="0"/>
        <w:spacing w:before="19" w:line="400" w:lineRule="exact"/>
        <w:rPr>
          <w:rFonts w:ascii="Times New Roman" w:hAnsi="Times New Roman"/>
          <w:sz w:val="24"/>
        </w:rPr>
      </w:pPr>
      <w:r>
        <w:rPr>
          <w:rFonts w:hint="eastAsia" w:ascii="Times New Roman" w:hAnsi="Times New Roman"/>
          <w:sz w:val="24"/>
        </w:rPr>
        <w:t>2.</w:t>
      </w:r>
      <w:r>
        <w:rPr>
          <w:rFonts w:ascii="Times New Roman" w:hAnsi="Times New Roman"/>
          <w:sz w:val="24"/>
        </w:rPr>
        <w:t>中标（成交）通知书</w:t>
      </w:r>
    </w:p>
    <w:p w14:paraId="5E9C6F5E">
      <w:pPr>
        <w:widowControl/>
        <w:snapToGrid w:val="0"/>
        <w:spacing w:before="19" w:line="400" w:lineRule="exact"/>
        <w:rPr>
          <w:rFonts w:ascii="Times New Roman" w:hAnsi="Times New Roman"/>
          <w:sz w:val="24"/>
        </w:rPr>
      </w:pPr>
      <w:r>
        <w:rPr>
          <w:rFonts w:hint="eastAsia" w:ascii="Times New Roman" w:hAnsi="Times New Roman"/>
          <w:sz w:val="24"/>
        </w:rPr>
        <w:t>3.</w:t>
      </w:r>
      <w:r>
        <w:rPr>
          <w:rFonts w:ascii="Times New Roman" w:hAnsi="Times New Roman"/>
          <w:sz w:val="24"/>
        </w:rPr>
        <w:t>投标（响应）文件</w:t>
      </w:r>
    </w:p>
    <w:p w14:paraId="32695F63">
      <w:pPr>
        <w:widowControl/>
        <w:snapToGrid w:val="0"/>
        <w:spacing w:before="19" w:line="400" w:lineRule="exact"/>
        <w:rPr>
          <w:rFonts w:ascii="Times New Roman" w:hAnsi="Times New Roman"/>
          <w:sz w:val="24"/>
        </w:rPr>
      </w:pPr>
      <w:r>
        <w:rPr>
          <w:rFonts w:hint="eastAsia" w:ascii="Times New Roman" w:hAnsi="Times New Roman"/>
          <w:sz w:val="24"/>
        </w:rPr>
        <w:t>4.</w:t>
      </w:r>
      <w:r>
        <w:rPr>
          <w:rFonts w:ascii="Times New Roman" w:hAnsi="Times New Roman"/>
          <w:sz w:val="24"/>
        </w:rPr>
        <w:t>采购文件</w:t>
      </w:r>
    </w:p>
    <w:p w14:paraId="0F7D2492">
      <w:pPr>
        <w:widowControl/>
        <w:snapToGrid w:val="0"/>
        <w:spacing w:before="19" w:line="400" w:lineRule="exact"/>
        <w:rPr>
          <w:rFonts w:ascii="Times New Roman" w:hAnsi="Times New Roman"/>
          <w:sz w:val="24"/>
        </w:rPr>
      </w:pPr>
      <w:r>
        <w:rPr>
          <w:rFonts w:hint="eastAsia" w:ascii="Times New Roman" w:hAnsi="Times New Roman"/>
          <w:sz w:val="24"/>
        </w:rPr>
        <w:t>5.</w:t>
      </w:r>
      <w:r>
        <w:rPr>
          <w:rFonts w:ascii="Times New Roman" w:hAnsi="Times New Roman"/>
          <w:sz w:val="24"/>
        </w:rPr>
        <w:t>有关技术文件，图纸</w:t>
      </w:r>
    </w:p>
    <w:p w14:paraId="4EF0B314">
      <w:pPr>
        <w:widowControl/>
        <w:snapToGrid w:val="0"/>
        <w:spacing w:before="19" w:line="400" w:lineRule="exact"/>
        <w:rPr>
          <w:rFonts w:ascii="Times New Roman" w:hAnsi="Times New Roman"/>
          <w:sz w:val="24"/>
        </w:rPr>
      </w:pPr>
      <w:r>
        <w:rPr>
          <w:rFonts w:hint="eastAsia" w:ascii="Times New Roman" w:hAnsi="Times New Roman"/>
          <w:sz w:val="24"/>
        </w:rPr>
        <w:t>6.</w:t>
      </w:r>
      <w:r>
        <w:rPr>
          <w:rFonts w:ascii="Times New Roman" w:hAnsi="Times New Roman"/>
          <w:sz w:val="24"/>
        </w:rPr>
        <w:t>国家法律、行政法规和规章制度规定或合同约定的作为合同组成部分的其他文件</w:t>
      </w:r>
    </w:p>
    <w:p w14:paraId="0312EF65">
      <w:pPr>
        <w:widowControl/>
        <w:snapToGrid w:val="0"/>
        <w:spacing w:before="19" w:line="400" w:lineRule="exact"/>
        <w:rPr>
          <w:rFonts w:ascii="Times New Roman" w:hAnsi="Times New Roman"/>
          <w:sz w:val="24"/>
        </w:rPr>
      </w:pPr>
      <w:r>
        <w:rPr>
          <w:rFonts w:ascii="Times New Roman" w:hAnsi="Times New Roman"/>
          <w:sz w:val="24"/>
        </w:rPr>
        <w:t>十、违约责任</w:t>
      </w:r>
    </w:p>
    <w:p w14:paraId="0876A31A">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甲方无正当理由拒收货物、拒付货物款的，由甲方向乙方偿付合同总价的10%违约金。如乙方不能交付货物，乙方应向甲方支付合同总价10％的违约金。若该违约金不足以弥补甲方损失的，乙方还应予以赔偿。</w:t>
      </w:r>
    </w:p>
    <w:p w14:paraId="4A5BD2C5">
      <w:pPr>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乙方逾期交付货物的，乙方应按逾期交货总额每日</w:t>
      </w:r>
      <w:r>
        <w:rPr>
          <w:rFonts w:hint="eastAsia" w:ascii="Times New Roman" w:hAnsi="Times New Roman"/>
          <w:sz w:val="24"/>
          <w:u w:val="single"/>
        </w:rPr>
        <w:t xml:space="preserve">   5</w:t>
      </w:r>
      <w:r>
        <w:rPr>
          <w:rFonts w:ascii="Times New Roman" w:hAnsi="Times New Roman"/>
          <w:sz w:val="24"/>
          <w:u w:val="single"/>
        </w:rPr>
        <w:t>‰</w:t>
      </w:r>
      <w:r>
        <w:rPr>
          <w:rFonts w:hint="eastAsia" w:ascii="Times New Roman" w:hAnsi="Times New Roman"/>
          <w:sz w:val="24"/>
          <w:u w:val="single"/>
        </w:rPr>
        <w:t xml:space="preserve">   </w:t>
      </w:r>
      <w:r>
        <w:rPr>
          <w:rFonts w:ascii="Times New Roman" w:hAnsi="Times New Roman"/>
          <w:sz w:val="24"/>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3FB1B47C">
      <w:pPr>
        <w:spacing w:before="19" w:line="400" w:lineRule="exact"/>
        <w:rPr>
          <w:rFonts w:ascii="Times New Roman" w:hAnsi="Times New Roman"/>
          <w:sz w:val="24"/>
        </w:rPr>
      </w:pPr>
      <w:r>
        <w:rPr>
          <w:rFonts w:ascii="Times New Roman" w:hAnsi="Times New Roman"/>
          <w:sz w:val="24"/>
        </w:rPr>
        <w:t>3</w:t>
      </w:r>
      <w:r>
        <w:rPr>
          <w:rFonts w:hint="eastAsia" w:ascii="Times New Roman" w:hAnsi="Times New Roman"/>
          <w:sz w:val="24"/>
        </w:rPr>
        <w:t>.</w:t>
      </w:r>
      <w:r>
        <w:rPr>
          <w:rFonts w:ascii="Times New Roman" w:hAnsi="Times New Roman"/>
          <w:sz w:val="24"/>
        </w:rPr>
        <w:t>乙方所交的货物品种、型号、规格、技术参数、质量不符合合同规定及</w:t>
      </w:r>
      <w:r>
        <w:rPr>
          <w:rFonts w:hint="eastAsia" w:ascii="Times New Roman" w:hAnsi="Times New Roman"/>
          <w:sz w:val="24"/>
        </w:rPr>
        <w:t>采购</w:t>
      </w:r>
      <w:r>
        <w:rPr>
          <w:rFonts w:ascii="Times New Roman" w:hAnsi="Times New Roman"/>
          <w:sz w:val="24"/>
        </w:rPr>
        <w:t>文件</w:t>
      </w:r>
      <w:r>
        <w:rPr>
          <w:rFonts w:hint="eastAsia" w:ascii="Times New Roman" w:hAnsi="Times New Roman"/>
          <w:sz w:val="24"/>
        </w:rPr>
        <w:t>、响应文件</w:t>
      </w:r>
      <w:r>
        <w:rPr>
          <w:rFonts w:ascii="Times New Roman" w:hAnsi="Times New Roman"/>
          <w:sz w:val="24"/>
        </w:rPr>
        <w:t>标准的，甲方有权拒收该货物，乙方愿意更换货物但逾期交货的，按乙方逾期交货处理。乙方拒绝更换货物的，甲方可单方面解除合同。</w:t>
      </w:r>
    </w:p>
    <w:p w14:paraId="1F65DD4E">
      <w:pPr>
        <w:widowControl/>
        <w:snapToGrid w:val="0"/>
        <w:spacing w:before="19" w:line="400" w:lineRule="exact"/>
        <w:rPr>
          <w:rFonts w:ascii="Times New Roman" w:hAnsi="Times New Roman"/>
          <w:sz w:val="24"/>
        </w:rPr>
      </w:pPr>
      <w:r>
        <w:rPr>
          <w:rFonts w:ascii="Times New Roman" w:hAnsi="Times New Roman"/>
          <w:sz w:val="24"/>
        </w:rPr>
        <w:t>4</w:t>
      </w:r>
      <w:r>
        <w:rPr>
          <w:rFonts w:hint="eastAsia" w:ascii="Times New Roman" w:hAnsi="Times New Roman"/>
          <w:sz w:val="24"/>
        </w:rPr>
        <w:t>.</w:t>
      </w:r>
      <w:r>
        <w:rPr>
          <w:rFonts w:ascii="Times New Roman" w:hAnsi="Times New Roman"/>
          <w:sz w:val="24"/>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21E7AE2A">
      <w:pPr>
        <w:widowControl/>
        <w:snapToGrid w:val="0"/>
        <w:spacing w:before="19" w:line="400" w:lineRule="exact"/>
        <w:rPr>
          <w:rFonts w:ascii="Times New Roman" w:hAnsi="Times New Roman"/>
          <w:sz w:val="24"/>
        </w:rPr>
      </w:pPr>
      <w:r>
        <w:rPr>
          <w:rFonts w:ascii="Times New Roman" w:hAnsi="Times New Roman"/>
          <w:sz w:val="24"/>
        </w:rPr>
        <w:t>十一、 合同的变更和终止</w:t>
      </w:r>
    </w:p>
    <w:p w14:paraId="501136E8">
      <w:pPr>
        <w:widowControl/>
        <w:snapToGrid w:val="0"/>
        <w:spacing w:before="19" w:line="400" w:lineRule="exact"/>
        <w:rPr>
          <w:rFonts w:ascii="Times New Roman" w:hAnsi="Times New Roman"/>
          <w:sz w:val="24"/>
        </w:rPr>
      </w:pPr>
      <w:r>
        <w:rPr>
          <w:rFonts w:ascii="Times New Roman" w:hAnsi="Times New Roman"/>
          <w:sz w:val="24"/>
        </w:rPr>
        <w:t>依据《政府采购法》第五十条，本合同一经签订，甲乙双方不得擅自变更、中止或终止合同。特殊情况确需变更且符合规定情形的，应由甲乙双方协商一致，并签订书面补充协议。</w:t>
      </w:r>
    </w:p>
    <w:p w14:paraId="3F743E38">
      <w:pPr>
        <w:widowControl/>
        <w:snapToGrid w:val="0"/>
        <w:spacing w:before="19" w:line="400" w:lineRule="exact"/>
        <w:rPr>
          <w:rFonts w:ascii="Times New Roman" w:hAnsi="Times New Roman"/>
          <w:sz w:val="24"/>
        </w:rPr>
      </w:pPr>
      <w:r>
        <w:rPr>
          <w:rFonts w:ascii="Times New Roman" w:hAnsi="Times New Roman"/>
          <w:sz w:val="24"/>
        </w:rPr>
        <w:t>十二、合同的转让</w:t>
      </w:r>
    </w:p>
    <w:p w14:paraId="6983BF4F">
      <w:pPr>
        <w:widowControl/>
        <w:snapToGrid w:val="0"/>
        <w:spacing w:before="19" w:line="400" w:lineRule="exact"/>
        <w:rPr>
          <w:rFonts w:ascii="Times New Roman" w:hAnsi="Times New Roman"/>
          <w:sz w:val="24"/>
        </w:rPr>
      </w:pPr>
      <w:r>
        <w:rPr>
          <w:rFonts w:ascii="Times New Roman" w:hAnsi="Times New Roman"/>
          <w:sz w:val="24"/>
        </w:rPr>
        <w:t>乙方不得擅自部分或全部转让其应履行的合同义务。</w:t>
      </w:r>
    </w:p>
    <w:p w14:paraId="7E4F3926">
      <w:pPr>
        <w:widowControl/>
        <w:snapToGrid w:val="0"/>
        <w:spacing w:before="19" w:line="400" w:lineRule="exact"/>
        <w:rPr>
          <w:rFonts w:ascii="Times New Roman" w:hAnsi="Times New Roman"/>
          <w:sz w:val="24"/>
        </w:rPr>
      </w:pPr>
      <w:r>
        <w:rPr>
          <w:rFonts w:ascii="Times New Roman" w:hAnsi="Times New Roman"/>
          <w:sz w:val="24"/>
        </w:rPr>
        <w:t>十三、 争议的解决</w:t>
      </w:r>
    </w:p>
    <w:p w14:paraId="405065E2">
      <w:pPr>
        <w:widowControl/>
        <w:snapToGrid w:val="0"/>
        <w:spacing w:before="19" w:line="400" w:lineRule="exact"/>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67616B56">
      <w:pPr>
        <w:widowControl/>
        <w:snapToGrid w:val="0"/>
        <w:spacing w:before="19" w:line="400" w:lineRule="exact"/>
        <w:rPr>
          <w:rFonts w:ascii="Times New Roman" w:hAnsi="Times New Roman"/>
          <w:sz w:val="24"/>
        </w:rPr>
      </w:pPr>
      <w:r>
        <w:rPr>
          <w:rFonts w:ascii="Times New Roman" w:hAnsi="Times New Roman"/>
          <w:sz w:val="24"/>
        </w:rPr>
        <w:t>2</w:t>
      </w:r>
      <w:r>
        <w:rPr>
          <w:rFonts w:hint="eastAsia" w:ascii="Times New Roman" w:hAnsi="Times New Roman"/>
          <w:sz w:val="24"/>
        </w:rPr>
        <w:t>.</w:t>
      </w:r>
      <w:r>
        <w:rPr>
          <w:rFonts w:ascii="Times New Roman" w:hAnsi="Times New Roman"/>
          <w:sz w:val="24"/>
        </w:rPr>
        <w:t>因履行本合同引起的或与本合同有关的争议，甲、乙双方应首先通过友好协商解决，如果协商不能解决争议，任何一方均可向甲方所在地人民法院起诉解决。</w:t>
      </w:r>
    </w:p>
    <w:p w14:paraId="1F5FB316">
      <w:pPr>
        <w:widowControl/>
        <w:snapToGrid w:val="0"/>
        <w:spacing w:before="19" w:line="400" w:lineRule="exact"/>
        <w:rPr>
          <w:rFonts w:ascii="Times New Roman" w:hAnsi="Times New Roman"/>
          <w:sz w:val="24"/>
        </w:rPr>
      </w:pPr>
      <w:r>
        <w:rPr>
          <w:rFonts w:ascii="Times New Roman" w:hAnsi="Times New Roman"/>
          <w:sz w:val="24"/>
        </w:rPr>
        <w:t>十四、付款前乙方须提供</w:t>
      </w:r>
      <w:r>
        <w:rPr>
          <w:rFonts w:hint="eastAsia" w:ascii="Times New Roman" w:hAnsi="Times New Roman"/>
          <w:sz w:val="24"/>
          <w:u w:val="single"/>
        </w:rPr>
        <w:t xml:space="preserve">      </w:t>
      </w:r>
      <w:r>
        <w:rPr>
          <w:rFonts w:ascii="Times New Roman" w:hAnsi="Times New Roman"/>
          <w:sz w:val="24"/>
          <w:u w:val="single"/>
        </w:rPr>
        <w:t>增值税</w:t>
      </w:r>
      <w:r>
        <w:rPr>
          <w:rFonts w:hint="eastAsia" w:ascii="Times New Roman" w:hAnsi="Times New Roman"/>
          <w:sz w:val="24"/>
          <w:u w:val="single"/>
        </w:rPr>
        <w:t>专用</w:t>
      </w:r>
      <w:r>
        <w:rPr>
          <w:rFonts w:ascii="Times New Roman" w:hAnsi="Times New Roman"/>
          <w:sz w:val="24"/>
          <w:u w:val="single"/>
        </w:rPr>
        <w:t>发票</w:t>
      </w:r>
      <w:r>
        <w:rPr>
          <w:rFonts w:hint="eastAsia" w:ascii="Times New Roman" w:hAnsi="Times New Roman"/>
          <w:sz w:val="24"/>
          <w:u w:val="single"/>
        </w:rPr>
        <w:t xml:space="preserve">     </w:t>
      </w:r>
      <w:r>
        <w:rPr>
          <w:rFonts w:ascii="Times New Roman" w:hAnsi="Times New Roman"/>
          <w:sz w:val="24"/>
        </w:rPr>
        <w:t>，总价不变。</w:t>
      </w:r>
    </w:p>
    <w:p w14:paraId="35661B99">
      <w:pPr>
        <w:widowControl/>
        <w:snapToGrid w:val="0"/>
        <w:spacing w:before="19" w:line="400" w:lineRule="exact"/>
        <w:rPr>
          <w:rFonts w:ascii="Times New Roman" w:hAnsi="Times New Roman"/>
          <w:sz w:val="24"/>
        </w:rPr>
      </w:pPr>
      <w:r>
        <w:rPr>
          <w:rFonts w:ascii="Times New Roman" w:hAnsi="Times New Roman"/>
          <w:sz w:val="24"/>
        </w:rPr>
        <w:t>十五、本合同由甲、乙双方共同签订，合同一式</w:t>
      </w:r>
      <w:r>
        <w:rPr>
          <w:rFonts w:hint="eastAsia" w:ascii="Times New Roman" w:hAnsi="Times New Roman"/>
          <w:sz w:val="24"/>
          <w:u w:val="single"/>
        </w:rPr>
        <w:t xml:space="preserve">       </w:t>
      </w:r>
      <w:r>
        <w:rPr>
          <w:rFonts w:ascii="Times New Roman" w:hAnsi="Times New Roman"/>
          <w:sz w:val="24"/>
        </w:rPr>
        <w:t>份，甲方</w:t>
      </w:r>
      <w:r>
        <w:rPr>
          <w:rFonts w:hint="eastAsia" w:ascii="Times New Roman" w:hAnsi="Times New Roman"/>
          <w:sz w:val="24"/>
          <w:u w:val="single"/>
        </w:rPr>
        <w:t xml:space="preserve">    三   </w:t>
      </w:r>
      <w:r>
        <w:rPr>
          <w:rFonts w:ascii="Times New Roman" w:hAnsi="Times New Roman"/>
          <w:sz w:val="24"/>
        </w:rPr>
        <w:t>份、乙方</w:t>
      </w:r>
      <w:r>
        <w:rPr>
          <w:rFonts w:hint="eastAsia" w:ascii="Times New Roman" w:hAnsi="Times New Roman"/>
          <w:sz w:val="24"/>
          <w:u w:val="single"/>
        </w:rPr>
        <w:t xml:space="preserve">       </w:t>
      </w:r>
      <w:r>
        <w:rPr>
          <w:rFonts w:ascii="Times New Roman" w:hAnsi="Times New Roman"/>
          <w:sz w:val="24"/>
        </w:rPr>
        <w:t>份。自双方签字、盖章之日起生效。</w:t>
      </w:r>
    </w:p>
    <w:p w14:paraId="293D96CC">
      <w:pPr>
        <w:widowControl/>
        <w:snapToGrid w:val="0"/>
        <w:spacing w:before="19" w:line="360" w:lineRule="auto"/>
        <w:ind w:firstLine="360" w:firstLineChars="200"/>
        <w:rPr>
          <w:rFonts w:ascii="Times New Roman" w:hAnsi="Times New Roman"/>
          <w:sz w:val="18"/>
        </w:rPr>
      </w:pPr>
    </w:p>
    <w:p w14:paraId="3ACEDE43">
      <w:pPr>
        <w:widowControl/>
        <w:snapToGrid w:val="0"/>
        <w:spacing w:before="19" w:line="360" w:lineRule="auto"/>
        <w:ind w:firstLine="360" w:firstLineChars="200"/>
        <w:rPr>
          <w:rFonts w:ascii="Times New Roman" w:hAnsi="Times New Roman"/>
          <w:sz w:val="18"/>
        </w:rPr>
      </w:pPr>
    </w:p>
    <w:p w14:paraId="2D317520">
      <w:pPr>
        <w:widowControl/>
        <w:snapToGrid w:val="0"/>
        <w:spacing w:before="19" w:line="360" w:lineRule="auto"/>
        <w:ind w:firstLine="360" w:firstLineChars="200"/>
        <w:rPr>
          <w:rFonts w:ascii="Times New Roman" w:hAnsi="Times New Roman"/>
          <w:sz w:val="18"/>
        </w:rPr>
      </w:pPr>
      <w:r>
        <w:rPr>
          <w:rFonts w:ascii="Times New Roman" w:hAnsi="Times New Roman"/>
          <w:sz w:val="18"/>
        </w:rPr>
        <w:t>甲方                                               乙方</w:t>
      </w:r>
    </w:p>
    <w:p w14:paraId="5D671CB9">
      <w:pPr>
        <w:widowControl/>
        <w:snapToGrid w:val="0"/>
        <w:spacing w:before="19" w:line="360" w:lineRule="auto"/>
        <w:ind w:firstLine="360" w:firstLineChars="200"/>
        <w:rPr>
          <w:rFonts w:ascii="Times New Roman" w:hAnsi="Times New Roman"/>
          <w:sz w:val="18"/>
        </w:rPr>
      </w:pPr>
      <w:r>
        <w:rPr>
          <w:rFonts w:ascii="Times New Roman" w:hAnsi="Times New Roman"/>
          <w:sz w:val="18"/>
        </w:rPr>
        <w:t>单位名称：南京邮电大学                             单位名称：</w:t>
      </w:r>
    </w:p>
    <w:p w14:paraId="57C5C5B7">
      <w:pPr>
        <w:widowControl/>
        <w:snapToGrid w:val="0"/>
        <w:spacing w:before="19" w:line="360" w:lineRule="auto"/>
        <w:ind w:firstLine="360" w:firstLineChars="200"/>
        <w:rPr>
          <w:rFonts w:ascii="Times New Roman" w:hAnsi="Times New Roman"/>
          <w:sz w:val="18"/>
        </w:rPr>
      </w:pPr>
      <w:r>
        <w:rPr>
          <w:rFonts w:ascii="Times New Roman" w:hAnsi="Times New Roman"/>
          <w:sz w:val="18"/>
        </w:rPr>
        <w:t>单位地址：                                         单位地址：</w:t>
      </w:r>
    </w:p>
    <w:p w14:paraId="593ED585">
      <w:pPr>
        <w:widowControl/>
        <w:snapToGrid w:val="0"/>
        <w:spacing w:before="19" w:line="360" w:lineRule="auto"/>
        <w:ind w:firstLine="360" w:firstLineChars="200"/>
        <w:rPr>
          <w:rFonts w:ascii="Times New Roman" w:hAnsi="Times New Roman"/>
          <w:sz w:val="18"/>
        </w:rPr>
      </w:pPr>
      <w:r>
        <w:rPr>
          <w:rFonts w:ascii="Times New Roman" w:hAnsi="Times New Roman"/>
          <w:sz w:val="18"/>
        </w:rPr>
        <w:t>法定代表人：                                       法定代表人：</w:t>
      </w:r>
    </w:p>
    <w:p w14:paraId="5A923990">
      <w:pPr>
        <w:widowControl/>
        <w:snapToGrid w:val="0"/>
        <w:spacing w:before="19" w:line="360" w:lineRule="auto"/>
        <w:ind w:firstLine="360" w:firstLineChars="200"/>
        <w:rPr>
          <w:rFonts w:ascii="Times New Roman" w:hAnsi="Times New Roman"/>
          <w:sz w:val="18"/>
        </w:rPr>
      </w:pPr>
      <w:r>
        <w:rPr>
          <w:rFonts w:ascii="Times New Roman" w:hAnsi="Times New Roman"/>
          <w:sz w:val="18"/>
        </w:rPr>
        <w:t>委托代理人（签字）：                                委托代理人（签字）：</w:t>
      </w:r>
    </w:p>
    <w:p w14:paraId="36B738E2">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联系电话：                                         联系电话：                                            </w:t>
      </w:r>
    </w:p>
    <w:p w14:paraId="2E0DFB56">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开户银行：                                         开户银行： </w:t>
      </w:r>
    </w:p>
    <w:p w14:paraId="696FE5C9">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户名： 南京邮电大学                                户名： </w:t>
      </w:r>
    </w:p>
    <w:p w14:paraId="04CF3E2B">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账号： </w:t>
      </w:r>
    </w:p>
    <w:p w14:paraId="1D90AB8D">
      <w:pPr>
        <w:widowControl/>
        <w:snapToGrid w:val="0"/>
        <w:spacing w:before="19" w:line="360" w:lineRule="auto"/>
        <w:ind w:firstLine="360" w:firstLineChars="200"/>
        <w:rPr>
          <w:rFonts w:ascii="Times New Roman" w:hAnsi="Times New Roman"/>
          <w:sz w:val="18"/>
        </w:rPr>
      </w:pPr>
      <w:r>
        <w:rPr>
          <w:rFonts w:ascii="Times New Roman" w:hAnsi="Times New Roman"/>
          <w:sz w:val="18"/>
        </w:rPr>
        <w:t xml:space="preserve">                                                   行号：  </w:t>
      </w:r>
    </w:p>
    <w:p w14:paraId="5211EEFA">
      <w:pPr>
        <w:widowControl/>
        <w:snapToGrid w:val="0"/>
        <w:spacing w:before="19" w:line="360" w:lineRule="auto"/>
        <w:ind w:firstLine="360" w:firstLineChars="200"/>
        <w:rPr>
          <w:rFonts w:ascii="Times New Roman" w:hAnsi="Times New Roman"/>
          <w:sz w:val="18"/>
        </w:rPr>
      </w:pPr>
      <w:r>
        <w:rPr>
          <w:rFonts w:ascii="Times New Roman" w:hAnsi="Times New Roman"/>
          <w:sz w:val="18"/>
        </w:rPr>
        <w:t>地址、电话：南京市栖霞区文苑路9 号　025-85866388    项目联系人：</w:t>
      </w:r>
    </w:p>
    <w:p w14:paraId="1509D3DA">
      <w:pPr>
        <w:widowControl/>
        <w:snapToGrid w:val="0"/>
        <w:spacing w:before="19" w:line="360" w:lineRule="auto"/>
        <w:ind w:firstLine="360" w:firstLineChars="200"/>
        <w:rPr>
          <w:rFonts w:ascii="Times New Roman" w:hAnsi="Times New Roman"/>
          <w:sz w:val="18"/>
        </w:rPr>
      </w:pPr>
      <w:r>
        <w:rPr>
          <w:rFonts w:ascii="Times New Roman" w:hAnsi="Times New Roman"/>
          <w:sz w:val="18"/>
        </w:rPr>
        <w:t>签约日期（即合同生效日期）：    年     月     日       联系电话：</w:t>
      </w:r>
    </w:p>
    <w:p w14:paraId="3510FC4E">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67AC1952">
      <w:pPr>
        <w:pStyle w:val="267"/>
        <w:rPr>
          <w:rFonts w:ascii="宋体" w:hAnsi="宋体"/>
          <w:b/>
          <w:color w:val="000000" w:themeColor="text1"/>
          <w:sz w:val="72"/>
          <w14:textFill>
            <w14:solidFill>
              <w14:schemeClr w14:val="tx1"/>
            </w14:solidFill>
          </w14:textFill>
        </w:rPr>
      </w:pPr>
      <w:r>
        <w:rPr>
          <w:rFonts w:hint="eastAsia"/>
          <w:color w:val="000000" w:themeColor="text1"/>
          <w14:textFill>
            <w14:solidFill>
              <w14:schemeClr w14:val="tx1"/>
            </w14:solidFill>
          </w14:textFill>
        </w:rPr>
        <w:t>第</w:t>
      </w:r>
      <w:r>
        <w:rPr>
          <w:color w:val="000000" w:themeColor="text1"/>
          <w14:textFill>
            <w14:solidFill>
              <w14:schemeClr w14:val="tx1"/>
            </w14:solidFill>
          </w14:textFill>
        </w:rPr>
        <w:t>六章  响应文件格式及附件</w:t>
      </w:r>
    </w:p>
    <w:p w14:paraId="50544896">
      <w:pPr>
        <w:spacing w:line="360" w:lineRule="auto"/>
        <w:jc w:val="center"/>
        <w:rPr>
          <w:rFonts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t>响应文件</w:t>
      </w:r>
    </w:p>
    <w:p w14:paraId="4C718E9D">
      <w:pPr>
        <w:spacing w:line="360" w:lineRule="auto"/>
        <w:ind w:firstLine="2472" w:firstLineChars="1026"/>
        <w:rPr>
          <w:rFonts w:ascii="宋体" w:hAnsi="宋体"/>
          <w:b/>
          <w:color w:val="000000" w:themeColor="text1"/>
          <w:sz w:val="24"/>
          <w14:textFill>
            <w14:solidFill>
              <w14:schemeClr w14:val="tx1"/>
            </w14:solidFill>
          </w14:textFill>
        </w:rPr>
      </w:pPr>
    </w:p>
    <w:p w14:paraId="3B78FAFF">
      <w:pPr>
        <w:spacing w:line="360" w:lineRule="auto"/>
        <w:jc w:val="center"/>
        <w:rPr>
          <w:rFonts w:ascii="宋体" w:hAnsi="宋体"/>
          <w:b/>
          <w:color w:val="000000" w:themeColor="text1"/>
          <w:sz w:val="24"/>
          <w14:textFill>
            <w14:solidFill>
              <w14:schemeClr w14:val="tx1"/>
            </w14:solidFill>
          </w14:textFill>
        </w:rPr>
      </w:pPr>
    </w:p>
    <w:p w14:paraId="2B41D9EF">
      <w:pPr>
        <w:spacing w:line="360" w:lineRule="auto"/>
        <w:jc w:val="center"/>
        <w:rPr>
          <w:rFonts w:ascii="宋体" w:hAnsi="宋体"/>
          <w:b/>
          <w:color w:val="000000" w:themeColor="text1"/>
          <w:sz w:val="24"/>
          <w14:textFill>
            <w14:solidFill>
              <w14:schemeClr w14:val="tx1"/>
            </w14:solidFill>
          </w14:textFill>
        </w:rPr>
      </w:pPr>
    </w:p>
    <w:p w14:paraId="185282BD">
      <w:pPr>
        <w:spacing w:before="480" w:beforeLines="200" w:line="360" w:lineRule="auto"/>
        <w:jc w:val="center"/>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（正或副本）</w:t>
      </w:r>
    </w:p>
    <w:p w14:paraId="306E4921">
      <w:pPr>
        <w:spacing w:line="360" w:lineRule="auto"/>
        <w:jc w:val="center"/>
        <w:rPr>
          <w:rFonts w:ascii="宋体" w:hAnsi="宋体"/>
          <w:b/>
          <w:color w:val="000000" w:themeColor="text1"/>
          <w:sz w:val="24"/>
          <w14:textFill>
            <w14:solidFill>
              <w14:schemeClr w14:val="tx1"/>
            </w14:solidFill>
          </w14:textFill>
        </w:rPr>
      </w:pPr>
    </w:p>
    <w:p w14:paraId="11F840DF">
      <w:pPr>
        <w:spacing w:line="360" w:lineRule="auto"/>
        <w:rPr>
          <w:rFonts w:ascii="宋体" w:hAnsi="宋体"/>
          <w:b/>
          <w:color w:val="000000" w:themeColor="text1"/>
          <w:sz w:val="24"/>
          <w14:textFill>
            <w14:solidFill>
              <w14:schemeClr w14:val="tx1"/>
            </w14:solidFill>
          </w14:textFill>
        </w:rPr>
      </w:pPr>
    </w:p>
    <w:p w14:paraId="7BDD623B">
      <w:pPr>
        <w:spacing w:line="360" w:lineRule="auto"/>
        <w:jc w:val="center"/>
        <w:rPr>
          <w:rFonts w:ascii="宋体" w:hAnsi="宋体"/>
          <w:b/>
          <w:color w:val="000000" w:themeColor="text1"/>
          <w:sz w:val="24"/>
          <w14:textFill>
            <w14:solidFill>
              <w14:schemeClr w14:val="tx1"/>
            </w14:solidFill>
          </w14:textFill>
        </w:rPr>
      </w:pPr>
    </w:p>
    <w:p w14:paraId="770E6C9D">
      <w:pPr>
        <w:spacing w:line="360" w:lineRule="auto"/>
        <w:rPr>
          <w:rFonts w:ascii="宋体" w:hAnsi="宋体"/>
          <w:b/>
          <w:color w:val="000000" w:themeColor="text1"/>
          <w:sz w:val="24"/>
          <w14:textFill>
            <w14:solidFill>
              <w14:schemeClr w14:val="tx1"/>
            </w14:solidFill>
          </w14:textFill>
        </w:rPr>
      </w:pPr>
    </w:p>
    <w:p w14:paraId="7F69B48C">
      <w:pPr>
        <w:spacing w:line="360" w:lineRule="auto"/>
        <w:jc w:val="center"/>
        <w:rPr>
          <w:rFonts w:ascii="宋体" w:hAnsi="宋体"/>
          <w:b/>
          <w:color w:val="000000" w:themeColor="text1"/>
          <w:sz w:val="24"/>
          <w14:textFill>
            <w14:solidFill>
              <w14:schemeClr w14:val="tx1"/>
            </w14:solidFill>
          </w14:textFill>
        </w:rPr>
      </w:pPr>
    </w:p>
    <w:p w14:paraId="15406642">
      <w:pPr>
        <w:pStyle w:val="259"/>
        <w:ind w:firstLine="0"/>
        <w:jc w:val="center"/>
        <w:rPr>
          <w:rFonts w:asciiTheme="majorEastAsia" w:hAnsiTheme="majorEastAsia" w:eastAsiaTheme="majorEastAsia"/>
          <w:b/>
          <w:sz w:val="36"/>
          <w:szCs w:val="36"/>
        </w:rPr>
      </w:pPr>
      <w:r>
        <w:rPr>
          <w:rFonts w:hint="eastAsia" w:ascii="宋体" w:hAnsi="宋体"/>
          <w:b/>
          <w:color w:val="000000" w:themeColor="text1"/>
          <w:sz w:val="28"/>
          <w:szCs w:val="28"/>
          <w14:textFill>
            <w14:solidFill>
              <w14:schemeClr w14:val="tx1"/>
            </w14:solidFill>
          </w14:textFill>
        </w:rPr>
        <w:t>项目编号：</w:t>
      </w:r>
      <w:r>
        <w:rPr>
          <w:rFonts w:asciiTheme="majorEastAsia" w:hAnsiTheme="majorEastAsia" w:eastAsiaTheme="majorEastAsia"/>
          <w:b/>
          <w:sz w:val="36"/>
          <w:szCs w:val="36"/>
        </w:rPr>
        <w:t>XXXXX</w:t>
      </w:r>
    </w:p>
    <w:p w14:paraId="629FAE24">
      <w:pPr>
        <w:spacing w:line="360" w:lineRule="auto"/>
        <w:ind w:firstLine="843" w:firstLineChars="300"/>
        <w:rPr>
          <w:rFonts w:ascii="宋体" w:hAnsi="宋体"/>
          <w:b/>
          <w:color w:val="000000" w:themeColor="text1"/>
          <w:sz w:val="28"/>
          <w:szCs w:val="28"/>
          <w14:textFill>
            <w14:solidFill>
              <w14:schemeClr w14:val="tx1"/>
            </w14:solidFill>
          </w14:textFill>
        </w:rPr>
      </w:pPr>
    </w:p>
    <w:p w14:paraId="22E895D0">
      <w:pPr>
        <w:pStyle w:val="259"/>
        <w:ind w:firstLine="0"/>
        <w:jc w:val="center"/>
        <w:rPr>
          <w:rFonts w:asciiTheme="majorEastAsia" w:hAnsiTheme="majorEastAsia" w:eastAsiaTheme="majorEastAsia"/>
          <w:b/>
          <w:sz w:val="36"/>
          <w:szCs w:val="36"/>
        </w:rPr>
      </w:pPr>
      <w:r>
        <w:rPr>
          <w:rFonts w:hint="eastAsia" w:ascii="宋体" w:hAnsi="宋体"/>
          <w:b/>
          <w:color w:val="000000" w:themeColor="text1"/>
          <w:sz w:val="28"/>
          <w:szCs w:val="28"/>
          <w14:textFill>
            <w14:solidFill>
              <w14:schemeClr w14:val="tx1"/>
            </w14:solidFill>
          </w14:textFill>
        </w:rPr>
        <w:t>项目名称：</w:t>
      </w:r>
      <w:r>
        <w:rPr>
          <w:rFonts w:asciiTheme="majorEastAsia" w:hAnsiTheme="majorEastAsia" w:eastAsiaTheme="majorEastAsia"/>
          <w:b/>
          <w:sz w:val="36"/>
          <w:szCs w:val="36"/>
        </w:rPr>
        <w:t>XXXXX</w:t>
      </w:r>
    </w:p>
    <w:p w14:paraId="4FC81445">
      <w:pPr>
        <w:spacing w:line="360" w:lineRule="auto"/>
        <w:ind w:firstLine="843" w:firstLineChars="300"/>
        <w:rPr>
          <w:rFonts w:ascii="宋体" w:hAnsi="宋体"/>
          <w:b/>
          <w:color w:val="000000" w:themeColor="text1"/>
          <w:sz w:val="28"/>
          <w:szCs w:val="28"/>
          <w:u w:val="single"/>
          <w14:textFill>
            <w14:solidFill>
              <w14:schemeClr w14:val="tx1"/>
            </w14:solidFill>
          </w14:textFill>
        </w:rPr>
      </w:pPr>
    </w:p>
    <w:p w14:paraId="49BE6E63">
      <w:pPr>
        <w:spacing w:line="360" w:lineRule="auto"/>
        <w:rPr>
          <w:rFonts w:ascii="宋体" w:hAnsi="宋体"/>
          <w:b/>
          <w:color w:val="000000" w:themeColor="text1"/>
          <w:sz w:val="28"/>
          <w:szCs w:val="28"/>
          <w14:textFill>
            <w14:solidFill>
              <w14:schemeClr w14:val="tx1"/>
            </w14:solidFill>
          </w14:textFill>
        </w:rPr>
      </w:pPr>
    </w:p>
    <w:p w14:paraId="299DA535">
      <w:pPr>
        <w:spacing w:line="360" w:lineRule="auto"/>
        <w:rPr>
          <w:rFonts w:ascii="宋体" w:hAnsi="宋体"/>
          <w:b/>
          <w:color w:val="000000" w:themeColor="text1"/>
          <w:sz w:val="28"/>
          <w:szCs w:val="28"/>
          <w14:textFill>
            <w14:solidFill>
              <w14:schemeClr w14:val="tx1"/>
            </w14:solidFill>
          </w14:textFill>
        </w:rPr>
      </w:pPr>
    </w:p>
    <w:p w14:paraId="1FD7A28B">
      <w:pPr>
        <w:spacing w:line="360" w:lineRule="auto"/>
        <w:rPr>
          <w:rFonts w:ascii="宋体" w:hAnsi="宋体"/>
          <w:b/>
          <w:color w:val="000000" w:themeColor="text1"/>
          <w:sz w:val="28"/>
          <w:szCs w:val="28"/>
          <w14:textFill>
            <w14:solidFill>
              <w14:schemeClr w14:val="tx1"/>
            </w14:solidFill>
          </w14:textFill>
        </w:rPr>
      </w:pPr>
    </w:p>
    <w:p w14:paraId="2E83827E">
      <w:pPr>
        <w:spacing w:line="360" w:lineRule="auto"/>
        <w:rPr>
          <w:rFonts w:ascii="宋体" w:hAnsi="宋体"/>
          <w:b/>
          <w:color w:val="000000" w:themeColor="text1"/>
          <w:sz w:val="28"/>
          <w:szCs w:val="28"/>
          <w14:textFill>
            <w14:solidFill>
              <w14:schemeClr w14:val="tx1"/>
            </w14:solidFill>
          </w14:textFill>
        </w:rPr>
      </w:pPr>
    </w:p>
    <w:p w14:paraId="0631E701">
      <w:pPr>
        <w:spacing w:line="360" w:lineRule="auto"/>
        <w:rPr>
          <w:rFonts w:ascii="宋体" w:hAnsi="宋体"/>
          <w:b/>
          <w:color w:val="000000" w:themeColor="text1"/>
          <w:sz w:val="28"/>
          <w:szCs w:val="28"/>
          <w14:textFill>
            <w14:solidFill>
              <w14:schemeClr w14:val="tx1"/>
            </w14:solidFill>
          </w14:textFill>
        </w:rPr>
      </w:pPr>
    </w:p>
    <w:p w14:paraId="4377D2ED">
      <w:pPr>
        <w:spacing w:line="360" w:lineRule="auto"/>
        <w:rPr>
          <w:rFonts w:ascii="宋体" w:hAnsi="宋体"/>
          <w:b/>
          <w:color w:val="000000" w:themeColor="text1"/>
          <w:sz w:val="28"/>
          <w:szCs w:val="28"/>
          <w14:textFill>
            <w14:solidFill>
              <w14:schemeClr w14:val="tx1"/>
            </w14:solidFill>
          </w14:textFill>
        </w:rPr>
      </w:pPr>
    </w:p>
    <w:p w14:paraId="66E3A576">
      <w:pPr>
        <w:spacing w:line="360" w:lineRule="auto"/>
        <w:rPr>
          <w:rFonts w:ascii="宋体" w:hAnsi="宋体"/>
          <w:b/>
          <w:color w:val="000000" w:themeColor="text1"/>
          <w:sz w:val="28"/>
          <w:szCs w:val="28"/>
          <w:u w:val="single"/>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供应商名称：</w:t>
      </w:r>
      <w:r>
        <w:rPr>
          <w:rFonts w:asciiTheme="majorEastAsia" w:hAnsiTheme="majorEastAsia" w:eastAsiaTheme="majorEastAsia"/>
          <w:b/>
          <w:sz w:val="30"/>
          <w:szCs w:val="30"/>
        </w:rPr>
        <w:t>XXXXXXXX</w:t>
      </w:r>
    </w:p>
    <w:p w14:paraId="464F9821">
      <w:pP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日期：</w:t>
      </w:r>
      <w:r>
        <w:rPr>
          <w:rFonts w:asciiTheme="majorEastAsia" w:hAnsiTheme="majorEastAsia" w:eastAsiaTheme="majorEastAsia"/>
          <w:b/>
          <w:sz w:val="30"/>
          <w:szCs w:val="30"/>
        </w:rPr>
        <w:t>XXXXXXXX</w:t>
      </w:r>
    </w:p>
    <w:p w14:paraId="768BF1EB">
      <w:pPr>
        <w:spacing w:line="360" w:lineRule="auto"/>
        <w:rPr>
          <w:rFonts w:ascii="宋体" w:hAnsi="宋体"/>
          <w:b/>
          <w:color w:val="000000" w:themeColor="text1"/>
          <w:sz w:val="30"/>
          <w:szCs w:val="30"/>
          <w14:textFill>
            <w14:solidFill>
              <w14:schemeClr w14:val="tx1"/>
            </w14:solidFill>
          </w14:textFill>
        </w:rPr>
      </w:pPr>
      <w:r>
        <w:rPr>
          <w:rFonts w:ascii="宋体" w:hAnsi="宋体"/>
          <w:b/>
          <w:bCs/>
          <w:color w:val="000000" w:themeColor="text1"/>
          <w:sz w:val="36"/>
          <w14:textFill>
            <w14:solidFill>
              <w14:schemeClr w14:val="tx1"/>
            </w14:solidFill>
          </w14:textFill>
        </w:rPr>
        <w:br w:type="page"/>
      </w:r>
      <w:bookmarkStart w:id="13" w:name="_Toc405408732"/>
      <w:r>
        <w:rPr>
          <w:rFonts w:hint="eastAsia" w:ascii="宋体" w:hAnsi="宋体"/>
          <w:b/>
          <w:color w:val="000000" w:themeColor="text1"/>
          <w:sz w:val="30"/>
          <w:szCs w:val="30"/>
          <w14:textFill>
            <w14:solidFill>
              <w14:schemeClr w14:val="tx1"/>
            </w14:solidFill>
          </w14:textFill>
        </w:rPr>
        <w:t>评分索引表</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0D66E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3216" w:type="pct"/>
          </w:tcPr>
          <w:p w14:paraId="71CCAC98">
            <w:pPr>
              <w:spacing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评分项目</w:t>
            </w:r>
          </w:p>
        </w:tc>
        <w:tc>
          <w:tcPr>
            <w:tcW w:w="1783" w:type="pct"/>
          </w:tcPr>
          <w:p w14:paraId="54063688">
            <w:pPr>
              <w:spacing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在响应文件中的页码位置</w:t>
            </w:r>
          </w:p>
        </w:tc>
      </w:tr>
      <w:tr w14:paraId="114D6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40CDF359">
            <w:pPr>
              <w:spacing w:line="360" w:lineRule="auto"/>
              <w:rPr>
                <w:rFonts w:ascii="宋体" w:hAnsi="宋体"/>
                <w:b/>
                <w:color w:val="000000" w:themeColor="text1"/>
                <w14:textFill>
                  <w14:solidFill>
                    <w14:schemeClr w14:val="tx1"/>
                  </w14:solidFill>
                </w14:textFill>
              </w:rPr>
            </w:pPr>
          </w:p>
        </w:tc>
        <w:tc>
          <w:tcPr>
            <w:tcW w:w="1783" w:type="pct"/>
          </w:tcPr>
          <w:p w14:paraId="37FD73BA">
            <w:pPr>
              <w:spacing w:line="360" w:lineRule="auto"/>
              <w:rPr>
                <w:rFonts w:ascii="宋体" w:hAnsi="宋体"/>
                <w:b/>
                <w:color w:val="000000" w:themeColor="text1"/>
                <w14:textFill>
                  <w14:solidFill>
                    <w14:schemeClr w14:val="tx1"/>
                  </w14:solidFill>
                </w14:textFill>
              </w:rPr>
            </w:pPr>
          </w:p>
        </w:tc>
      </w:tr>
      <w:tr w14:paraId="24C88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61FF9373">
            <w:pPr>
              <w:spacing w:line="360" w:lineRule="auto"/>
              <w:rPr>
                <w:rFonts w:ascii="宋体" w:hAnsi="宋体"/>
                <w:b/>
                <w:color w:val="000000" w:themeColor="text1"/>
                <w14:textFill>
                  <w14:solidFill>
                    <w14:schemeClr w14:val="tx1"/>
                  </w14:solidFill>
                </w14:textFill>
              </w:rPr>
            </w:pPr>
          </w:p>
        </w:tc>
      </w:tr>
      <w:tr w14:paraId="7088E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3BCE9AA5">
            <w:pPr>
              <w:spacing w:line="360" w:lineRule="auto"/>
              <w:rPr>
                <w:rFonts w:ascii="宋体" w:hAnsi="宋体"/>
                <w:b/>
                <w:color w:val="000000" w:themeColor="text1"/>
                <w14:textFill>
                  <w14:solidFill>
                    <w14:schemeClr w14:val="tx1"/>
                  </w14:solidFill>
                </w14:textFill>
              </w:rPr>
            </w:pPr>
          </w:p>
        </w:tc>
        <w:tc>
          <w:tcPr>
            <w:tcW w:w="1783" w:type="pct"/>
          </w:tcPr>
          <w:p w14:paraId="000F930C">
            <w:pPr>
              <w:spacing w:line="360" w:lineRule="auto"/>
              <w:rPr>
                <w:rFonts w:ascii="宋体" w:hAnsi="宋体"/>
                <w:b/>
                <w:color w:val="000000" w:themeColor="text1"/>
                <w14:textFill>
                  <w14:solidFill>
                    <w14:schemeClr w14:val="tx1"/>
                  </w14:solidFill>
                </w14:textFill>
              </w:rPr>
            </w:pPr>
          </w:p>
        </w:tc>
      </w:tr>
      <w:tr w14:paraId="6019C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4EB0758E">
            <w:pPr>
              <w:spacing w:line="360" w:lineRule="auto"/>
              <w:rPr>
                <w:rFonts w:ascii="宋体" w:hAnsi="宋体"/>
                <w:b/>
                <w:color w:val="000000" w:themeColor="text1"/>
                <w14:textFill>
                  <w14:solidFill>
                    <w14:schemeClr w14:val="tx1"/>
                  </w14:solidFill>
                </w14:textFill>
              </w:rPr>
            </w:pPr>
          </w:p>
        </w:tc>
        <w:tc>
          <w:tcPr>
            <w:tcW w:w="1783" w:type="pct"/>
          </w:tcPr>
          <w:p w14:paraId="629A9A2E">
            <w:pPr>
              <w:spacing w:line="360" w:lineRule="auto"/>
              <w:rPr>
                <w:rFonts w:ascii="宋体" w:hAnsi="宋体"/>
                <w:b/>
                <w:color w:val="000000" w:themeColor="text1"/>
                <w14:textFill>
                  <w14:solidFill>
                    <w14:schemeClr w14:val="tx1"/>
                  </w14:solidFill>
                </w14:textFill>
              </w:rPr>
            </w:pPr>
          </w:p>
        </w:tc>
      </w:tr>
      <w:tr w14:paraId="3AF03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593A0D7B">
            <w:pPr>
              <w:spacing w:line="360" w:lineRule="auto"/>
              <w:rPr>
                <w:rFonts w:ascii="宋体" w:hAnsi="宋体"/>
                <w:b/>
                <w:color w:val="000000" w:themeColor="text1"/>
                <w14:textFill>
                  <w14:solidFill>
                    <w14:schemeClr w14:val="tx1"/>
                  </w14:solidFill>
                </w14:textFill>
              </w:rPr>
            </w:pPr>
          </w:p>
        </w:tc>
        <w:tc>
          <w:tcPr>
            <w:tcW w:w="1783" w:type="pct"/>
          </w:tcPr>
          <w:p w14:paraId="2324196D">
            <w:pPr>
              <w:spacing w:line="360" w:lineRule="auto"/>
              <w:rPr>
                <w:rFonts w:ascii="宋体" w:hAnsi="宋体"/>
                <w:b/>
                <w:color w:val="000000" w:themeColor="text1"/>
                <w14:textFill>
                  <w14:solidFill>
                    <w14:schemeClr w14:val="tx1"/>
                  </w14:solidFill>
                </w14:textFill>
              </w:rPr>
            </w:pPr>
          </w:p>
        </w:tc>
      </w:tr>
      <w:tr w14:paraId="1382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CF1A035">
            <w:pPr>
              <w:spacing w:line="360" w:lineRule="auto"/>
              <w:rPr>
                <w:rFonts w:ascii="宋体" w:hAnsi="宋体"/>
                <w:b/>
                <w:color w:val="000000" w:themeColor="text1"/>
                <w14:textFill>
                  <w14:solidFill>
                    <w14:schemeClr w14:val="tx1"/>
                  </w14:solidFill>
                </w14:textFill>
              </w:rPr>
            </w:pPr>
          </w:p>
        </w:tc>
        <w:tc>
          <w:tcPr>
            <w:tcW w:w="1783" w:type="pct"/>
          </w:tcPr>
          <w:p w14:paraId="4C9BE3E6">
            <w:pPr>
              <w:spacing w:line="360" w:lineRule="auto"/>
              <w:rPr>
                <w:rFonts w:ascii="宋体" w:hAnsi="宋体"/>
                <w:b/>
                <w:color w:val="000000" w:themeColor="text1"/>
                <w14:textFill>
                  <w14:solidFill>
                    <w14:schemeClr w14:val="tx1"/>
                  </w14:solidFill>
                </w14:textFill>
              </w:rPr>
            </w:pPr>
          </w:p>
        </w:tc>
      </w:tr>
      <w:tr w14:paraId="19E5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1D512537">
            <w:pPr>
              <w:spacing w:line="360" w:lineRule="auto"/>
              <w:rPr>
                <w:rFonts w:ascii="宋体" w:hAnsi="宋体"/>
                <w:b/>
                <w:color w:val="000000" w:themeColor="text1"/>
                <w14:textFill>
                  <w14:solidFill>
                    <w14:schemeClr w14:val="tx1"/>
                  </w14:solidFill>
                </w14:textFill>
              </w:rPr>
            </w:pPr>
          </w:p>
        </w:tc>
        <w:tc>
          <w:tcPr>
            <w:tcW w:w="1783" w:type="pct"/>
          </w:tcPr>
          <w:p w14:paraId="4D0D7F9A">
            <w:pPr>
              <w:spacing w:line="360" w:lineRule="auto"/>
              <w:rPr>
                <w:rFonts w:ascii="宋体" w:hAnsi="宋体"/>
                <w:b/>
                <w:color w:val="000000" w:themeColor="text1"/>
                <w14:textFill>
                  <w14:solidFill>
                    <w14:schemeClr w14:val="tx1"/>
                  </w14:solidFill>
                </w14:textFill>
              </w:rPr>
            </w:pPr>
          </w:p>
        </w:tc>
      </w:tr>
      <w:tr w14:paraId="71C06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06512335">
            <w:pPr>
              <w:spacing w:line="360" w:lineRule="auto"/>
              <w:rPr>
                <w:rFonts w:ascii="宋体" w:hAnsi="宋体"/>
                <w:b/>
                <w:color w:val="000000" w:themeColor="text1"/>
                <w14:textFill>
                  <w14:solidFill>
                    <w14:schemeClr w14:val="tx1"/>
                  </w14:solidFill>
                </w14:textFill>
              </w:rPr>
            </w:pPr>
          </w:p>
        </w:tc>
      </w:tr>
      <w:tr w14:paraId="7B71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7E6605C1">
            <w:pPr>
              <w:spacing w:line="360" w:lineRule="auto"/>
              <w:rPr>
                <w:rFonts w:ascii="宋体" w:hAnsi="宋体"/>
                <w:b/>
                <w:color w:val="000000" w:themeColor="text1"/>
                <w14:textFill>
                  <w14:solidFill>
                    <w14:schemeClr w14:val="tx1"/>
                  </w14:solidFill>
                </w14:textFill>
              </w:rPr>
            </w:pPr>
          </w:p>
        </w:tc>
        <w:tc>
          <w:tcPr>
            <w:tcW w:w="1783" w:type="pct"/>
          </w:tcPr>
          <w:p w14:paraId="2AF7B1EE">
            <w:pPr>
              <w:spacing w:line="360" w:lineRule="auto"/>
              <w:rPr>
                <w:rFonts w:ascii="宋体" w:hAnsi="宋体"/>
                <w:b/>
                <w:color w:val="000000" w:themeColor="text1"/>
                <w14:textFill>
                  <w14:solidFill>
                    <w14:schemeClr w14:val="tx1"/>
                  </w14:solidFill>
                </w14:textFill>
              </w:rPr>
            </w:pPr>
          </w:p>
        </w:tc>
      </w:tr>
      <w:tr w14:paraId="6033A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53BFFEF6">
            <w:pPr>
              <w:spacing w:line="360" w:lineRule="auto"/>
              <w:rPr>
                <w:rFonts w:ascii="宋体" w:hAnsi="宋体"/>
                <w:b/>
                <w:color w:val="000000" w:themeColor="text1"/>
                <w14:textFill>
                  <w14:solidFill>
                    <w14:schemeClr w14:val="tx1"/>
                  </w14:solidFill>
                </w14:textFill>
              </w:rPr>
            </w:pPr>
          </w:p>
        </w:tc>
        <w:tc>
          <w:tcPr>
            <w:tcW w:w="1783" w:type="pct"/>
          </w:tcPr>
          <w:p w14:paraId="07A50168">
            <w:pPr>
              <w:spacing w:line="360" w:lineRule="auto"/>
              <w:rPr>
                <w:rFonts w:ascii="宋体" w:hAnsi="宋体"/>
                <w:b/>
                <w:color w:val="000000" w:themeColor="text1"/>
                <w14:textFill>
                  <w14:solidFill>
                    <w14:schemeClr w14:val="tx1"/>
                  </w14:solidFill>
                </w14:textFill>
              </w:rPr>
            </w:pPr>
          </w:p>
        </w:tc>
      </w:tr>
      <w:tr w14:paraId="6C367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3841A65D">
            <w:pPr>
              <w:spacing w:line="360" w:lineRule="auto"/>
              <w:rPr>
                <w:rFonts w:ascii="宋体" w:hAnsi="宋体"/>
                <w:b/>
                <w:color w:val="000000" w:themeColor="text1"/>
                <w14:textFill>
                  <w14:solidFill>
                    <w14:schemeClr w14:val="tx1"/>
                  </w14:solidFill>
                </w14:textFill>
              </w:rPr>
            </w:pPr>
          </w:p>
        </w:tc>
        <w:tc>
          <w:tcPr>
            <w:tcW w:w="1783" w:type="pct"/>
          </w:tcPr>
          <w:p w14:paraId="499820FD">
            <w:pPr>
              <w:spacing w:line="360" w:lineRule="auto"/>
              <w:rPr>
                <w:rFonts w:ascii="宋体" w:hAnsi="宋体"/>
                <w:b/>
                <w:color w:val="000000" w:themeColor="text1"/>
                <w14:textFill>
                  <w14:solidFill>
                    <w14:schemeClr w14:val="tx1"/>
                  </w14:solidFill>
                </w14:textFill>
              </w:rPr>
            </w:pPr>
          </w:p>
        </w:tc>
      </w:tr>
      <w:tr w14:paraId="678FE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0071EDD6">
            <w:pPr>
              <w:spacing w:line="360" w:lineRule="auto"/>
              <w:rPr>
                <w:rFonts w:ascii="宋体" w:hAnsi="宋体"/>
                <w:b/>
                <w:color w:val="000000" w:themeColor="text1"/>
                <w14:textFill>
                  <w14:solidFill>
                    <w14:schemeClr w14:val="tx1"/>
                  </w14:solidFill>
                </w14:textFill>
              </w:rPr>
            </w:pPr>
          </w:p>
        </w:tc>
        <w:tc>
          <w:tcPr>
            <w:tcW w:w="1783" w:type="pct"/>
          </w:tcPr>
          <w:p w14:paraId="2DBDDB39">
            <w:pPr>
              <w:spacing w:line="360" w:lineRule="auto"/>
              <w:rPr>
                <w:rFonts w:ascii="宋体" w:hAnsi="宋体"/>
                <w:b/>
                <w:color w:val="000000" w:themeColor="text1"/>
                <w14:textFill>
                  <w14:solidFill>
                    <w14:schemeClr w14:val="tx1"/>
                  </w14:solidFill>
                </w14:textFill>
              </w:rPr>
            </w:pPr>
          </w:p>
        </w:tc>
      </w:tr>
      <w:tr w14:paraId="15D78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15BEDEB8">
            <w:pPr>
              <w:spacing w:line="360" w:lineRule="auto"/>
              <w:rPr>
                <w:rFonts w:ascii="宋体" w:hAnsi="宋体"/>
                <w:b/>
                <w:color w:val="000000" w:themeColor="text1"/>
                <w14:textFill>
                  <w14:solidFill>
                    <w14:schemeClr w14:val="tx1"/>
                  </w14:solidFill>
                </w14:textFill>
              </w:rPr>
            </w:pPr>
          </w:p>
        </w:tc>
        <w:tc>
          <w:tcPr>
            <w:tcW w:w="1783" w:type="pct"/>
          </w:tcPr>
          <w:p w14:paraId="567306C5">
            <w:pPr>
              <w:spacing w:line="360" w:lineRule="auto"/>
              <w:rPr>
                <w:rFonts w:ascii="宋体" w:hAnsi="宋体"/>
                <w:b/>
                <w:color w:val="000000" w:themeColor="text1"/>
                <w14:textFill>
                  <w14:solidFill>
                    <w14:schemeClr w14:val="tx1"/>
                  </w14:solidFill>
                </w14:textFill>
              </w:rPr>
            </w:pPr>
          </w:p>
        </w:tc>
      </w:tr>
      <w:tr w14:paraId="7ADC8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08CEA6AA">
            <w:pPr>
              <w:spacing w:line="360" w:lineRule="auto"/>
              <w:rPr>
                <w:rFonts w:ascii="宋体" w:hAnsi="宋体"/>
                <w:b/>
                <w:color w:val="000000" w:themeColor="text1"/>
                <w14:textFill>
                  <w14:solidFill>
                    <w14:schemeClr w14:val="tx1"/>
                  </w14:solidFill>
                </w14:textFill>
              </w:rPr>
            </w:pPr>
          </w:p>
        </w:tc>
      </w:tr>
      <w:tr w14:paraId="5345B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784534E5">
            <w:pPr>
              <w:spacing w:line="360" w:lineRule="auto"/>
              <w:rPr>
                <w:rFonts w:ascii="宋体" w:hAnsi="宋体"/>
                <w:b/>
                <w:color w:val="000000" w:themeColor="text1"/>
                <w14:textFill>
                  <w14:solidFill>
                    <w14:schemeClr w14:val="tx1"/>
                  </w14:solidFill>
                </w14:textFill>
              </w:rPr>
            </w:pPr>
          </w:p>
        </w:tc>
        <w:tc>
          <w:tcPr>
            <w:tcW w:w="1783" w:type="pct"/>
          </w:tcPr>
          <w:p w14:paraId="120B36E5">
            <w:pPr>
              <w:spacing w:line="360" w:lineRule="auto"/>
              <w:rPr>
                <w:rFonts w:ascii="宋体" w:hAnsi="宋体"/>
                <w:b/>
                <w:color w:val="000000" w:themeColor="text1"/>
                <w14:textFill>
                  <w14:solidFill>
                    <w14:schemeClr w14:val="tx1"/>
                  </w14:solidFill>
                </w14:textFill>
              </w:rPr>
            </w:pPr>
          </w:p>
        </w:tc>
      </w:tr>
      <w:tr w14:paraId="3CF3A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33EB2FDC">
            <w:pPr>
              <w:spacing w:line="360" w:lineRule="auto"/>
              <w:rPr>
                <w:rFonts w:ascii="宋体" w:hAnsi="宋体"/>
                <w:b/>
                <w:color w:val="000000" w:themeColor="text1"/>
                <w14:textFill>
                  <w14:solidFill>
                    <w14:schemeClr w14:val="tx1"/>
                  </w14:solidFill>
                </w14:textFill>
              </w:rPr>
            </w:pPr>
          </w:p>
        </w:tc>
        <w:tc>
          <w:tcPr>
            <w:tcW w:w="1783" w:type="pct"/>
          </w:tcPr>
          <w:p w14:paraId="6097DC84">
            <w:pPr>
              <w:spacing w:line="360" w:lineRule="auto"/>
              <w:rPr>
                <w:rFonts w:ascii="宋体" w:hAnsi="宋体"/>
                <w:b/>
                <w:color w:val="000000" w:themeColor="text1"/>
                <w14:textFill>
                  <w14:solidFill>
                    <w14:schemeClr w14:val="tx1"/>
                  </w14:solidFill>
                </w14:textFill>
              </w:rPr>
            </w:pPr>
          </w:p>
        </w:tc>
      </w:tr>
      <w:tr w14:paraId="0223F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6B36A101">
            <w:pPr>
              <w:spacing w:line="360" w:lineRule="auto"/>
              <w:rPr>
                <w:rFonts w:ascii="宋体" w:hAnsi="宋体"/>
                <w:b/>
                <w:color w:val="000000" w:themeColor="text1"/>
                <w14:textFill>
                  <w14:solidFill>
                    <w14:schemeClr w14:val="tx1"/>
                  </w14:solidFill>
                </w14:textFill>
              </w:rPr>
            </w:pPr>
          </w:p>
        </w:tc>
        <w:tc>
          <w:tcPr>
            <w:tcW w:w="1783" w:type="pct"/>
          </w:tcPr>
          <w:p w14:paraId="29CB951B">
            <w:pPr>
              <w:spacing w:line="360" w:lineRule="auto"/>
              <w:rPr>
                <w:rFonts w:ascii="宋体" w:hAnsi="宋体"/>
                <w:b/>
                <w:color w:val="000000" w:themeColor="text1"/>
                <w14:textFill>
                  <w14:solidFill>
                    <w14:schemeClr w14:val="tx1"/>
                  </w14:solidFill>
                </w14:textFill>
              </w:rPr>
            </w:pPr>
          </w:p>
        </w:tc>
      </w:tr>
      <w:tr w14:paraId="3B781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3998F191">
            <w:pPr>
              <w:spacing w:line="360" w:lineRule="auto"/>
              <w:rPr>
                <w:rFonts w:ascii="宋体" w:hAnsi="宋体"/>
                <w:b/>
                <w:color w:val="000000" w:themeColor="text1"/>
                <w14:textFill>
                  <w14:solidFill>
                    <w14:schemeClr w14:val="tx1"/>
                  </w14:solidFill>
                </w14:textFill>
              </w:rPr>
            </w:pPr>
          </w:p>
        </w:tc>
      </w:tr>
      <w:tr w14:paraId="40897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085A8846">
            <w:pPr>
              <w:spacing w:line="360" w:lineRule="auto"/>
              <w:rPr>
                <w:rFonts w:ascii="宋体" w:hAnsi="宋体"/>
                <w:b/>
                <w:color w:val="000000" w:themeColor="text1"/>
                <w14:textFill>
                  <w14:solidFill>
                    <w14:schemeClr w14:val="tx1"/>
                  </w14:solidFill>
                </w14:textFill>
              </w:rPr>
            </w:pPr>
          </w:p>
        </w:tc>
        <w:tc>
          <w:tcPr>
            <w:tcW w:w="1783" w:type="pct"/>
          </w:tcPr>
          <w:p w14:paraId="142A9456">
            <w:pPr>
              <w:spacing w:line="360" w:lineRule="auto"/>
              <w:rPr>
                <w:rFonts w:ascii="宋体" w:hAnsi="宋体"/>
                <w:b/>
                <w:color w:val="000000" w:themeColor="text1"/>
                <w14:textFill>
                  <w14:solidFill>
                    <w14:schemeClr w14:val="tx1"/>
                  </w14:solidFill>
                </w14:textFill>
              </w:rPr>
            </w:pPr>
          </w:p>
        </w:tc>
      </w:tr>
      <w:tr w14:paraId="774D2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747AA7B2">
            <w:pPr>
              <w:spacing w:line="360" w:lineRule="auto"/>
              <w:rPr>
                <w:rFonts w:ascii="宋体" w:hAnsi="宋体"/>
                <w:b/>
                <w:color w:val="000000" w:themeColor="text1"/>
                <w14:textFill>
                  <w14:solidFill>
                    <w14:schemeClr w14:val="tx1"/>
                  </w14:solidFill>
                </w14:textFill>
              </w:rPr>
            </w:pPr>
          </w:p>
        </w:tc>
        <w:tc>
          <w:tcPr>
            <w:tcW w:w="1783" w:type="pct"/>
          </w:tcPr>
          <w:p w14:paraId="20805BC4">
            <w:pPr>
              <w:spacing w:line="360" w:lineRule="auto"/>
              <w:rPr>
                <w:rFonts w:ascii="宋体" w:hAnsi="宋体"/>
                <w:b/>
                <w:color w:val="000000" w:themeColor="text1"/>
                <w14:textFill>
                  <w14:solidFill>
                    <w14:schemeClr w14:val="tx1"/>
                  </w14:solidFill>
                </w14:textFill>
              </w:rPr>
            </w:pPr>
          </w:p>
        </w:tc>
      </w:tr>
    </w:tbl>
    <w:p w14:paraId="666AD25D">
      <w:pPr>
        <w:spacing w:line="360" w:lineRule="auto"/>
        <w:rPr>
          <w:rFonts w:ascii="宋体" w:hAnsi="宋体"/>
          <w:color w:val="000000" w:themeColor="text1"/>
          <w14:textFill>
            <w14:solidFill>
              <w14:schemeClr w14:val="tx1"/>
            </w14:solidFill>
          </w14:textFill>
        </w:rPr>
      </w:pPr>
    </w:p>
    <w:p w14:paraId="2B151786">
      <w:pPr>
        <w:spacing w:line="360" w:lineRule="auto"/>
        <w:jc w:val="center"/>
        <w:rPr>
          <w:rFonts w:ascii="宋体" w:hAnsi="宋体"/>
          <w:b/>
          <w:bCs/>
          <w:color w:val="000000" w:themeColor="text1"/>
          <w:sz w:val="36"/>
          <w14:textFill>
            <w14:solidFill>
              <w14:schemeClr w14:val="tx1"/>
            </w14:solidFill>
          </w14:textFill>
        </w:rPr>
      </w:pPr>
      <w:r>
        <w:rPr>
          <w:rFonts w:ascii="宋体" w:hAnsi="宋体"/>
          <w:b/>
          <w:bCs/>
          <w:color w:val="000000" w:themeColor="text1"/>
          <w:sz w:val="36"/>
          <w14:textFill>
            <w14:solidFill>
              <w14:schemeClr w14:val="tx1"/>
            </w14:solidFill>
          </w14:textFill>
        </w:rPr>
        <w:br w:type="page"/>
      </w:r>
      <w:bookmarkStart w:id="14" w:name="_Toc489655320"/>
    </w:p>
    <w:p w14:paraId="63342C12">
      <w:pPr>
        <w:pStyle w:val="266"/>
        <w:rPr>
          <w:color w:val="000000" w:themeColor="text1"/>
          <w14:textFill>
            <w14:solidFill>
              <w14:schemeClr w14:val="tx1"/>
            </w14:solidFill>
          </w14:textFill>
        </w:rPr>
      </w:pPr>
      <w:r>
        <w:rPr>
          <w:color w:val="000000" w:themeColor="text1"/>
          <w14:textFill>
            <w14:solidFill>
              <w14:schemeClr w14:val="tx1"/>
            </w14:solidFill>
          </w14:textFill>
        </w:rPr>
        <w:t>响应文件主要目录</w:t>
      </w:r>
      <w:bookmarkEnd w:id="13"/>
      <w:bookmarkEnd w:id="14"/>
      <w:r>
        <w:rPr>
          <w:color w:val="000000" w:themeColor="text1"/>
          <w14:textFill>
            <w14:solidFill>
              <w14:schemeClr w14:val="tx1"/>
            </w14:solidFill>
          </w14:textFill>
        </w:rPr>
        <w:t>及相关证明材料格式、附件</w:t>
      </w:r>
    </w:p>
    <w:p w14:paraId="638B97D0">
      <w:pPr>
        <w:spacing w:line="360" w:lineRule="auto"/>
        <w:rPr>
          <w:rFonts w:ascii="宋体" w:hAnsi="宋体"/>
          <w:color w:val="000000" w:themeColor="text1"/>
          <w:sz w:val="28"/>
          <w:szCs w:val="28"/>
          <w14:textFill>
            <w14:solidFill>
              <w14:schemeClr w14:val="tx1"/>
            </w14:solidFill>
          </w14:textFill>
        </w:rPr>
      </w:pPr>
    </w:p>
    <w:p w14:paraId="7D4BE844">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一、响应申请及声明格式</w:t>
      </w:r>
    </w:p>
    <w:p w14:paraId="641A7382">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二、法定代表人授权书格式</w:t>
      </w:r>
    </w:p>
    <w:p w14:paraId="65CE3756">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三、响应一览表</w:t>
      </w:r>
    </w:p>
    <w:p w14:paraId="332DDAC6">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四、资格证明文件</w:t>
      </w:r>
    </w:p>
    <w:p w14:paraId="012EB36D">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五、技术条款偏离表</w:t>
      </w:r>
    </w:p>
    <w:p w14:paraId="77A619BC">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六、商务条款偏离表</w:t>
      </w:r>
    </w:p>
    <w:p w14:paraId="3A3649E5">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七、评分项审查材料</w:t>
      </w:r>
    </w:p>
    <w:p w14:paraId="4FBD9A4D">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八、响应需要的其他证明文件及材料（若有）</w:t>
      </w:r>
    </w:p>
    <w:p w14:paraId="37D55A15">
      <w:pPr>
        <w:spacing w:line="360" w:lineRule="auto"/>
        <w:rPr>
          <w:rFonts w:ascii="宋体" w:hAnsi="宋体"/>
          <w:color w:val="000000" w:themeColor="text1"/>
          <w:sz w:val="28"/>
          <w:szCs w:val="28"/>
          <w14:textFill>
            <w14:solidFill>
              <w14:schemeClr w14:val="tx1"/>
            </w14:solidFill>
          </w14:textFill>
        </w:rPr>
      </w:pPr>
    </w:p>
    <w:p w14:paraId="0EEDB6DE">
      <w:pPr>
        <w:spacing w:line="360" w:lineRule="auto"/>
        <w:ind w:firstLine="560" w:firstLineChars="200"/>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附件一、无重大违法记录声明格式；</w:t>
      </w:r>
    </w:p>
    <w:p w14:paraId="508D10F4">
      <w:pPr>
        <w:spacing w:line="360" w:lineRule="auto"/>
        <w:ind w:left="2941" w:leftChars="267" w:hanging="2380" w:hangingChars="850"/>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附件二、具备履行合同所必需的设备和专业技术能力的声明格式及证明材料。</w:t>
      </w:r>
    </w:p>
    <w:p w14:paraId="4ED04438">
      <w:pPr>
        <w:spacing w:line="360" w:lineRule="auto"/>
        <w:ind w:left="2941" w:leftChars="267" w:hanging="2380" w:hangingChars="850"/>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附件三、承诺书</w:t>
      </w:r>
    </w:p>
    <w:p w14:paraId="26D6018C">
      <w:pPr>
        <w:spacing w:line="360" w:lineRule="auto"/>
        <w:rPr>
          <w:rFonts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br w:type="page"/>
      </w:r>
    </w:p>
    <w:p w14:paraId="7B060C3B">
      <w:pPr>
        <w:pStyle w:val="17"/>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一、响应申请及声明格式</w:t>
      </w:r>
    </w:p>
    <w:p w14:paraId="3210325D">
      <w:pPr>
        <w:pStyle w:val="268"/>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响应申请及声明</w:t>
      </w:r>
    </w:p>
    <w:p w14:paraId="3268E83C">
      <w:pPr>
        <w:pStyle w:val="17"/>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7DA22673">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根据贵方</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（项目编号：</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）响应邀请，正式授权下述签字人（姓名和职务）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代表供应商（供应商名称）</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，提交响应文件。</w:t>
      </w:r>
    </w:p>
    <w:p w14:paraId="50AA161E">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据此函，签字人兹宣布声明和承诺如下：</w:t>
      </w:r>
    </w:p>
    <w:p w14:paraId="281F5EFB">
      <w:pPr>
        <w:pStyle w:val="17"/>
        <w:numPr>
          <w:ilvl w:val="0"/>
          <w:numId w:val="62"/>
        </w:numPr>
        <w:spacing w:line="360" w:lineRule="auto"/>
        <w:ind w:firstLineChars="0"/>
        <w:rPr>
          <w:color w:val="000000" w:themeColor="text1"/>
          <w14:textFill>
            <w14:solidFill>
              <w14:schemeClr w14:val="tx1"/>
            </w14:solidFill>
          </w14:textFill>
        </w:rPr>
      </w:pPr>
      <w:r>
        <w:rPr>
          <w:b/>
          <w:color w:val="000000" w:themeColor="text1"/>
          <w14:textFill>
            <w14:solidFill>
              <w14:schemeClr w14:val="tx1"/>
            </w14:solidFill>
          </w14:textFill>
        </w:rPr>
        <w:t>我们的资格条件完全符合本次</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要求</w:t>
      </w:r>
      <w:r>
        <w:rPr>
          <w:color w:val="000000" w:themeColor="text1"/>
          <w14:textFill>
            <w14:solidFill>
              <w14:schemeClr w14:val="tx1"/>
            </w14:solidFill>
          </w14:textFill>
        </w:rPr>
        <w:t>，我们同意并向贵方提供了与响应有关的所有证据和资料。</w:t>
      </w:r>
    </w:p>
    <w:p w14:paraId="568B941B">
      <w:pPr>
        <w:pStyle w:val="17"/>
        <w:numPr>
          <w:ilvl w:val="0"/>
          <w:numId w:val="6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按</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要求，我们的响应</w:t>
      </w:r>
      <w:r>
        <w:rPr>
          <w:rFonts w:hint="eastAsia"/>
          <w:b/>
          <w:color w:val="000000" w:themeColor="text1"/>
          <w14:textFill>
            <w14:solidFill>
              <w14:schemeClr w14:val="tx1"/>
            </w14:solidFill>
          </w14:textFill>
        </w:rPr>
        <w:t>报</w:t>
      </w:r>
      <w:r>
        <w:rPr>
          <w:b/>
          <w:color w:val="000000" w:themeColor="text1"/>
          <w14:textFill>
            <w14:solidFill>
              <w14:schemeClr w14:val="tx1"/>
            </w14:solidFill>
          </w14:textFill>
        </w:rPr>
        <w:t>价为：</w:t>
      </w:r>
      <w:r>
        <w:rPr>
          <w:b/>
          <w:color w:val="000000" w:themeColor="text1"/>
          <w:u w:val="single"/>
          <w14:textFill>
            <w14:solidFill>
              <w14:schemeClr w14:val="tx1"/>
            </w14:solidFill>
          </w14:textFill>
        </w:rPr>
        <w:t>（大写）人民币          （小写：       元人民币）</w:t>
      </w:r>
      <w:r>
        <w:rPr>
          <w:b/>
          <w:color w:val="000000" w:themeColor="text1"/>
          <w14:textFill>
            <w14:solidFill>
              <w14:schemeClr w14:val="tx1"/>
            </w14:solidFill>
          </w14:textFill>
        </w:rPr>
        <w:t>。</w:t>
      </w:r>
    </w:p>
    <w:p w14:paraId="43BDB03E">
      <w:pPr>
        <w:pStyle w:val="17"/>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我们已详细审核全部</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文件及其有效补充文件，我们放弃对</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文件任何误解的权利，提交响应文件后，</w:t>
      </w:r>
      <w:r>
        <w:rPr>
          <w:b/>
          <w:color w:val="000000" w:themeColor="text1"/>
          <w14:textFill>
            <w14:solidFill>
              <w14:schemeClr w14:val="tx1"/>
            </w14:solidFill>
          </w14:textFill>
        </w:rPr>
        <w:t>不对</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文件本身提出质疑</w:t>
      </w:r>
      <w:r>
        <w:rPr>
          <w:color w:val="000000" w:themeColor="text1"/>
          <w14:textFill>
            <w14:solidFill>
              <w14:schemeClr w14:val="tx1"/>
            </w14:solidFill>
          </w14:textFill>
        </w:rPr>
        <w:t>。</w:t>
      </w:r>
    </w:p>
    <w:p w14:paraId="5F1F0B98">
      <w:pPr>
        <w:pStyle w:val="17"/>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我们同意从规定的</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日期起遵循本响应文件，并在规定的响应有效期期满</w:t>
      </w:r>
      <w:r>
        <w:rPr>
          <w:rFonts w:hint="eastAsia"/>
          <w:color w:val="000000" w:themeColor="text1"/>
          <w14:textFill>
            <w14:solidFill>
              <w14:schemeClr w14:val="tx1"/>
            </w14:solidFill>
          </w14:textFill>
        </w:rPr>
        <w:t>（90天）</w:t>
      </w:r>
      <w:r>
        <w:rPr>
          <w:color w:val="000000" w:themeColor="text1"/>
          <w14:textFill>
            <w14:solidFill>
              <w14:schemeClr w14:val="tx1"/>
            </w14:solidFill>
          </w14:textFill>
        </w:rPr>
        <w:t>之前均具有约束力。</w:t>
      </w:r>
    </w:p>
    <w:p w14:paraId="450CB497">
      <w:pPr>
        <w:pStyle w:val="17"/>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一旦我方成交，我方将根据</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文件的规定严格履行合同，并保证于承诺的时间完成项目的启动等服务，交付采购人验收。</w:t>
      </w:r>
    </w:p>
    <w:p w14:paraId="1378CDB0">
      <w:pPr>
        <w:pStyle w:val="17"/>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1C77A1B2">
      <w:pPr>
        <w:pStyle w:val="17"/>
        <w:numPr>
          <w:ilvl w:val="0"/>
          <w:numId w:val="6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与本次响应有关的正式联系方式为：</w:t>
      </w:r>
    </w:p>
    <w:p w14:paraId="3482EB74">
      <w:pPr>
        <w:pStyle w:val="17"/>
        <w:spacing w:after="0"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地址：</w:t>
      </w:r>
    </w:p>
    <w:p w14:paraId="1D8F870D">
      <w:pPr>
        <w:pStyle w:val="17"/>
        <w:spacing w:after="0"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电话：</w:t>
      </w:r>
    </w:p>
    <w:p w14:paraId="263CC342">
      <w:pPr>
        <w:pStyle w:val="17"/>
        <w:spacing w:after="0"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传真：</w:t>
      </w:r>
    </w:p>
    <w:p w14:paraId="041B8409">
      <w:pPr>
        <w:pStyle w:val="17"/>
        <w:spacing w:after="0"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开户银行：</w:t>
      </w:r>
    </w:p>
    <w:p w14:paraId="2EA50491">
      <w:pPr>
        <w:pStyle w:val="17"/>
        <w:spacing w:after="0"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银行账号：</w:t>
      </w:r>
    </w:p>
    <w:p w14:paraId="0BAD0A77">
      <w:pPr>
        <w:pStyle w:val="17"/>
        <w:spacing w:after="0"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供应商授权代表姓名（签字）：</w:t>
      </w:r>
    </w:p>
    <w:p w14:paraId="08773E44">
      <w:pPr>
        <w:pStyle w:val="17"/>
        <w:spacing w:after="0"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供应商名称（盖章）：</w:t>
      </w:r>
    </w:p>
    <w:p w14:paraId="619C71AC">
      <w:pPr>
        <w:pStyle w:val="17"/>
        <w:spacing w:after="0"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日期：     年   月   日</w:t>
      </w:r>
    </w:p>
    <w:p w14:paraId="49C1AB73">
      <w:pPr>
        <w:rPr>
          <w:b/>
          <w:color w:val="000000" w:themeColor="text1"/>
          <w14:textFill>
            <w14:solidFill>
              <w14:schemeClr w14:val="tx1"/>
            </w14:solidFill>
          </w14:textFill>
        </w:rPr>
      </w:pPr>
      <w:r>
        <w:rPr>
          <w:b/>
          <w:color w:val="000000" w:themeColor="text1"/>
          <w14:textFill>
            <w14:solidFill>
              <w14:schemeClr w14:val="tx1"/>
            </w14:solidFill>
          </w14:textFill>
        </w:rPr>
        <w:br w:type="page"/>
      </w:r>
    </w:p>
    <w:p w14:paraId="25DB3E0F">
      <w:pPr>
        <w:pStyle w:val="17"/>
        <w:spacing w:before="240" w:beforeLines="100"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二、法定代表人授权书格式</w:t>
      </w:r>
    </w:p>
    <w:p w14:paraId="66E892C6">
      <w:pPr>
        <w:pStyle w:val="268"/>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法定代表人授权委托书</w:t>
      </w:r>
    </w:p>
    <w:p w14:paraId="0353A128">
      <w:pPr>
        <w:pStyle w:val="17"/>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3A5A2C3C">
      <w:pPr>
        <w:pStyle w:val="17"/>
        <w:wordWrap w:val="0"/>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本授权书声明：注册于（供应商住址）</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的（供应商名称）</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法定代表人（法定代表人姓名、职务）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代表本公司授权在下面签字的（供应商代表姓名、职务）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为本公司的合法代理人，就贵方组织的</w:t>
      </w:r>
      <w:r>
        <w:rPr>
          <w:rFonts w:hint="eastAsia"/>
          <w:color w:val="000000" w:themeColor="text1"/>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（项目编号）进行响应，以本公司名义处理一切与之有关的事务。</w:t>
      </w:r>
    </w:p>
    <w:p w14:paraId="305FD630">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本授权书于</w:t>
      </w:r>
      <w:r>
        <w:rPr>
          <w:color w:val="000000" w:themeColor="text1"/>
          <w:u w:val="single"/>
          <w14:textFill>
            <w14:solidFill>
              <w14:schemeClr w14:val="tx1"/>
            </w14:solidFill>
          </w14:textFill>
        </w:rPr>
        <w:t xml:space="preserve">      年    月    日</w:t>
      </w:r>
      <w:r>
        <w:rPr>
          <w:color w:val="000000" w:themeColor="text1"/>
          <w14:textFill>
            <w14:solidFill>
              <w14:schemeClr w14:val="tx1"/>
            </w14:solidFill>
          </w14:textFill>
        </w:rPr>
        <w:t>签字生效，特此声明。</w:t>
      </w:r>
    </w:p>
    <w:p w14:paraId="67A8B87E">
      <w:pPr>
        <w:adjustRightInd w:val="0"/>
        <w:spacing w:line="360" w:lineRule="auto"/>
        <w:ind w:firstLine="408"/>
        <w:jc w:val="left"/>
        <w:rPr>
          <w:rFonts w:ascii="宋体" w:hAnsi="宋体" w:cs="宋体"/>
          <w:color w:val="000000" w:themeColor="text1"/>
          <w:szCs w:val="21"/>
          <w:lang w:val="zh-CN"/>
          <w14:textFill>
            <w14:solidFill>
              <w14:schemeClr w14:val="tx1"/>
            </w14:solidFill>
          </w14:textFill>
        </w:rPr>
      </w:pPr>
    </w:p>
    <w:p w14:paraId="4EBA976F">
      <w:pPr>
        <w:adjustRightInd w:val="0"/>
        <w:spacing w:line="360" w:lineRule="auto"/>
        <w:ind w:firstLine="480" w:firstLineChars="200"/>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法定代表人（签字）：</w:t>
      </w:r>
    </w:p>
    <w:p w14:paraId="6750591C">
      <w:pPr>
        <w:adjustRightInd w:val="0"/>
        <w:spacing w:line="360" w:lineRule="auto"/>
        <w:ind w:firstLine="480" w:firstLineChars="200"/>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委托代理人</w:t>
      </w:r>
      <w:r>
        <w:rPr>
          <w:rFonts w:hint="eastAsia" w:ascii="Times New Roman" w:hAnsi="Times New Roman"/>
          <w:color w:val="000000" w:themeColor="text1"/>
          <w:sz w:val="24"/>
          <w:szCs w:val="21"/>
          <w:lang w:val="zh-CN"/>
          <w14:textFill>
            <w14:solidFill>
              <w14:schemeClr w14:val="tx1"/>
            </w14:solidFill>
          </w14:textFill>
        </w:rPr>
        <w:t>（签字）：</w:t>
      </w:r>
    </w:p>
    <w:p w14:paraId="10777492">
      <w:pPr>
        <w:tabs>
          <w:tab w:val="left" w:pos="1440"/>
        </w:tabs>
        <w:adjustRightInd w:val="0"/>
        <w:spacing w:line="360" w:lineRule="auto"/>
        <w:ind w:firstLine="420"/>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日期：年 月 日</w:t>
      </w:r>
    </w:p>
    <w:p w14:paraId="51BFC002">
      <w:pPr>
        <w:tabs>
          <w:tab w:val="left" w:pos="1440"/>
        </w:tabs>
        <w:adjustRightInd w:val="0"/>
        <w:spacing w:line="360" w:lineRule="auto"/>
        <w:ind w:firstLine="420"/>
        <w:jc w:val="left"/>
        <w:rPr>
          <w:rFonts w:ascii="Times New Roman" w:hAnsi="Times New Roman"/>
          <w:color w:val="000000" w:themeColor="text1"/>
          <w:sz w:val="24"/>
          <w:szCs w:val="21"/>
          <w:lang w:val="zh-CN"/>
          <w14:textFill>
            <w14:solidFill>
              <w14:schemeClr w14:val="tx1"/>
            </w14:solidFill>
          </w14:textFill>
        </w:rPr>
      </w:pPr>
    </w:p>
    <w:p w14:paraId="4435E4B1">
      <w:pPr>
        <w:tabs>
          <w:tab w:val="left" w:pos="1440"/>
        </w:tabs>
        <w:adjustRightInd w:val="0"/>
        <w:spacing w:line="360" w:lineRule="auto"/>
        <w:ind w:firstLine="420"/>
        <w:jc w:val="lef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法定代表人身份证复印件：</w:t>
      </w:r>
    </w:p>
    <w:p w14:paraId="62933D94">
      <w:pPr>
        <w:tabs>
          <w:tab w:val="left" w:pos="1440"/>
        </w:tabs>
        <w:adjustRightInd w:val="0"/>
        <w:spacing w:line="360" w:lineRule="auto"/>
        <w:ind w:firstLine="420"/>
        <w:jc w:val="left"/>
        <w:rPr>
          <w:rFonts w:ascii="Times New Roman" w:hAnsi="Times New Roman"/>
          <w:color w:val="000000" w:themeColor="text1"/>
          <w:sz w:val="24"/>
          <w:szCs w:val="21"/>
          <w:lang w:val="zh-CN"/>
          <w14:textFill>
            <w14:solidFill>
              <w14:schemeClr w14:val="tx1"/>
            </w14:solidFill>
          </w14:textFill>
        </w:rPr>
      </w:pPr>
    </w:p>
    <w:p w14:paraId="45AE4A74">
      <w:pPr>
        <w:tabs>
          <w:tab w:val="left" w:pos="1440"/>
        </w:tabs>
        <w:adjustRightInd w:val="0"/>
        <w:spacing w:line="360" w:lineRule="auto"/>
        <w:ind w:firstLine="420"/>
        <w:jc w:val="lef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委托代理</w:t>
      </w:r>
      <w:r>
        <w:rPr>
          <w:rFonts w:hint="eastAsia" w:ascii="Times New Roman" w:hAnsi="Times New Roman"/>
          <w:color w:val="000000" w:themeColor="text1"/>
          <w:sz w:val="24"/>
          <w:szCs w:val="21"/>
          <w:lang w:val="zh-CN"/>
          <w14:textFill>
            <w14:solidFill>
              <w14:schemeClr w14:val="tx1"/>
            </w14:solidFill>
          </w14:textFill>
        </w:rPr>
        <w:t>人</w:t>
      </w:r>
      <w:r>
        <w:rPr>
          <w:rFonts w:hint="eastAsia" w:ascii="Times New Roman" w:hAnsi="Times New Roman"/>
          <w:color w:val="000000" w:themeColor="text1"/>
          <w:sz w:val="24"/>
          <w:szCs w:val="21"/>
          <w14:textFill>
            <w14:solidFill>
              <w14:schemeClr w14:val="tx1"/>
            </w14:solidFill>
          </w14:textFill>
        </w:rPr>
        <w:t>身份证复印件：</w:t>
      </w:r>
    </w:p>
    <w:p w14:paraId="4A6B2F5D">
      <w:pPr>
        <w:tabs>
          <w:tab w:val="left" w:pos="1440"/>
        </w:tabs>
        <w:adjustRightInd w:val="0"/>
        <w:spacing w:line="360" w:lineRule="auto"/>
        <w:ind w:firstLine="420"/>
        <w:jc w:val="left"/>
        <w:rPr>
          <w:rFonts w:ascii="宋体" w:hAnsi="宋体" w:cs="宋体"/>
          <w:color w:val="000000" w:themeColor="text1"/>
          <w:szCs w:val="21"/>
          <w14:textFill>
            <w14:solidFill>
              <w14:schemeClr w14:val="tx1"/>
            </w14:solidFill>
          </w14:textFill>
        </w:rPr>
      </w:pPr>
    </w:p>
    <w:p w14:paraId="0D04D9DB">
      <w:pPr>
        <w:tabs>
          <w:tab w:val="left" w:pos="1440"/>
        </w:tabs>
        <w:adjustRightInd w:val="0"/>
        <w:spacing w:line="360" w:lineRule="auto"/>
        <w:ind w:firstLine="420"/>
        <w:jc w:val="left"/>
        <w:rPr>
          <w:rFonts w:ascii="宋体" w:hAnsi="宋体" w:cs="宋体"/>
          <w:color w:val="000000" w:themeColor="text1"/>
          <w:szCs w:val="21"/>
          <w14:textFill>
            <w14:solidFill>
              <w14:schemeClr w14:val="tx1"/>
            </w14:solidFill>
          </w14:textFill>
        </w:rPr>
      </w:pPr>
    </w:p>
    <w:p w14:paraId="0E265C96">
      <w:pPr>
        <w:tabs>
          <w:tab w:val="left" w:pos="1440"/>
        </w:tabs>
        <w:adjustRightInd w:val="0"/>
        <w:spacing w:line="360" w:lineRule="auto"/>
        <w:ind w:firstLine="420"/>
        <w:jc w:val="lef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供应商或分支机构近半年内任意一个月为委托代理</w:t>
      </w:r>
      <w:r>
        <w:rPr>
          <w:rFonts w:hint="eastAsia" w:ascii="Times New Roman" w:hAnsi="Times New Roman"/>
          <w:color w:val="000000" w:themeColor="text1"/>
          <w:sz w:val="24"/>
          <w:szCs w:val="21"/>
          <w:lang w:val="zh-CN"/>
          <w14:textFill>
            <w14:solidFill>
              <w14:schemeClr w14:val="tx1"/>
            </w14:solidFill>
          </w14:textFill>
        </w:rPr>
        <w:t>人</w:t>
      </w:r>
      <w:r>
        <w:rPr>
          <w:rFonts w:hint="eastAsia" w:ascii="Times New Roman" w:hAnsi="Times New Roman"/>
          <w:color w:val="000000" w:themeColor="text1"/>
          <w:sz w:val="24"/>
          <w:szCs w:val="21"/>
          <w14:textFill>
            <w14:solidFill>
              <w14:schemeClr w14:val="tx1"/>
            </w14:solidFill>
          </w14:textFill>
        </w:rPr>
        <w:t>缴纳社保的证明：</w:t>
      </w:r>
    </w:p>
    <w:p w14:paraId="70BA988B">
      <w:pPr>
        <w:tabs>
          <w:tab w:val="left" w:pos="1440"/>
        </w:tabs>
        <w:adjustRightInd w:val="0"/>
        <w:spacing w:line="360" w:lineRule="auto"/>
        <w:ind w:firstLine="420"/>
        <w:jc w:val="left"/>
        <w:rPr>
          <w:rFonts w:ascii="宋体" w:hAnsi="宋体" w:cs="宋体"/>
          <w:color w:val="000000" w:themeColor="text1"/>
          <w:szCs w:val="21"/>
          <w:lang w:val="zh-CN"/>
          <w14:textFill>
            <w14:solidFill>
              <w14:schemeClr w14:val="tx1"/>
            </w14:solidFill>
          </w14:textFill>
        </w:rPr>
      </w:pPr>
    </w:p>
    <w:p w14:paraId="417AF339">
      <w:pPr>
        <w:tabs>
          <w:tab w:val="left" w:pos="1440"/>
        </w:tabs>
        <w:adjustRightInd w:val="0"/>
        <w:spacing w:line="360" w:lineRule="auto"/>
        <w:ind w:firstLine="420"/>
        <w:jc w:val="left"/>
        <w:rPr>
          <w:rFonts w:ascii="宋体" w:hAnsi="宋体" w:cs="宋体"/>
          <w:color w:val="000000" w:themeColor="text1"/>
          <w:szCs w:val="21"/>
          <w:lang w:val="zh-CN"/>
          <w14:textFill>
            <w14:solidFill>
              <w14:schemeClr w14:val="tx1"/>
            </w14:solidFill>
          </w14:textFill>
        </w:rPr>
      </w:pPr>
    </w:p>
    <w:p w14:paraId="24D1ACBF">
      <w:pP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1ADCE977">
      <w:pPr>
        <w:pStyle w:val="17"/>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三、</w:t>
      </w: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一览表</w:t>
      </w:r>
    </w:p>
    <w:p w14:paraId="27F5380C">
      <w:pPr>
        <w:spacing w:line="360" w:lineRule="auto"/>
        <w:jc w:val="center"/>
        <w:rPr>
          <w:rFonts w:asciiTheme="majorEastAsia" w:hAnsiTheme="majorEastAsia" w:eastAsiaTheme="majorEastAsia"/>
          <w:b/>
          <w:sz w:val="24"/>
        </w:rPr>
      </w:pPr>
      <w:r>
        <w:rPr>
          <w:rFonts w:hint="eastAsia" w:asciiTheme="majorEastAsia" w:hAnsiTheme="majorEastAsia" w:eastAsiaTheme="majorEastAsia"/>
          <w:b/>
          <w:sz w:val="24"/>
        </w:rPr>
        <w:t>响应</w:t>
      </w:r>
      <w:r>
        <w:rPr>
          <w:rFonts w:asciiTheme="majorEastAsia" w:hAnsiTheme="majorEastAsia" w:eastAsiaTheme="majorEastAsia"/>
          <w:b/>
          <w:sz w:val="24"/>
        </w:rPr>
        <w:t>一览表</w:t>
      </w:r>
    </w:p>
    <w:p w14:paraId="0573F895">
      <w:pPr>
        <w:pStyle w:val="13"/>
        <w:spacing w:line="360" w:lineRule="auto"/>
        <w:rPr>
          <w:sz w:val="22"/>
          <w:szCs w:val="22"/>
        </w:rPr>
      </w:pPr>
      <w:bookmarkStart w:id="15" w:name="_Hlk179882269"/>
      <w:r>
        <w:rPr>
          <w:rFonts w:hint="eastAsia" w:ascii="宋体" w:hAnsi="宋体" w:cs="宋体"/>
          <w:sz w:val="22"/>
          <w:szCs w:val="22"/>
        </w:rPr>
        <w:t>项目编号：</w:t>
      </w:r>
    </w:p>
    <w:p w14:paraId="4D1425E6">
      <w:pPr>
        <w:pStyle w:val="13"/>
        <w:spacing w:line="360" w:lineRule="auto"/>
        <w:ind w:left="840" w:hanging="420"/>
        <w:rPr>
          <w:rFonts w:ascii="宋体" w:hAnsi="宋体" w:cs="宋体"/>
          <w:sz w:val="22"/>
          <w:szCs w:val="22"/>
        </w:rPr>
      </w:pPr>
      <w:r>
        <w:rPr>
          <w:rFonts w:hint="eastAsia" w:ascii="宋体" w:hAnsi="宋体" w:cs="宋体"/>
          <w:sz w:val="22"/>
          <w:szCs w:val="22"/>
        </w:rPr>
        <w:t>项目名称：</w:t>
      </w:r>
    </w:p>
    <w:bookmarkEnd w:id="15"/>
    <w:tbl>
      <w:tblPr>
        <w:tblStyle w:val="45"/>
        <w:tblW w:w="426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7"/>
        <w:gridCol w:w="1138"/>
        <w:gridCol w:w="2579"/>
        <w:gridCol w:w="1935"/>
        <w:gridCol w:w="1300"/>
      </w:tblGrid>
      <w:tr w14:paraId="608BA7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1" w:type="pct"/>
            <w:vAlign w:val="center"/>
          </w:tcPr>
          <w:p w14:paraId="18FEC41F">
            <w:pPr>
              <w:widowControl/>
              <w:jc w:val="center"/>
              <w:rPr>
                <w:rFonts w:ascii="宋体" w:hAnsi="宋体"/>
                <w:b/>
                <w:bCs/>
                <w:szCs w:val="21"/>
              </w:rPr>
            </w:pPr>
            <w:r>
              <w:rPr>
                <w:rFonts w:hint="eastAsia" w:ascii="宋体" w:hAnsi="宋体"/>
                <w:b/>
                <w:bCs/>
                <w:szCs w:val="21"/>
              </w:rPr>
              <w:t>产品</w:t>
            </w:r>
          </w:p>
        </w:tc>
        <w:tc>
          <w:tcPr>
            <w:tcW w:w="689" w:type="pct"/>
            <w:vAlign w:val="center"/>
          </w:tcPr>
          <w:p w14:paraId="00B68B65">
            <w:pPr>
              <w:widowControl/>
              <w:jc w:val="center"/>
              <w:rPr>
                <w:rFonts w:ascii="宋体" w:hAnsi="宋体"/>
                <w:b/>
                <w:bCs/>
                <w:szCs w:val="21"/>
              </w:rPr>
            </w:pPr>
            <w:r>
              <w:rPr>
                <w:rFonts w:ascii="宋体" w:hAnsi="宋体"/>
                <w:b/>
                <w:bCs/>
                <w:szCs w:val="21"/>
              </w:rPr>
              <w:t>数量</w:t>
            </w:r>
          </w:p>
        </w:tc>
        <w:tc>
          <w:tcPr>
            <w:tcW w:w="1560" w:type="pct"/>
            <w:vAlign w:val="center"/>
          </w:tcPr>
          <w:p w14:paraId="760E42A8">
            <w:pPr>
              <w:widowControl/>
              <w:jc w:val="center"/>
              <w:rPr>
                <w:rFonts w:ascii="宋体" w:hAnsi="宋体"/>
                <w:b/>
                <w:bCs/>
                <w:szCs w:val="21"/>
              </w:rPr>
            </w:pPr>
            <w:r>
              <w:rPr>
                <w:rFonts w:hint="eastAsia" w:ascii="宋体" w:hAnsi="宋体"/>
                <w:b/>
                <w:bCs/>
                <w:szCs w:val="21"/>
              </w:rPr>
              <w:t>报价总金额（人民币）</w:t>
            </w:r>
          </w:p>
        </w:tc>
        <w:tc>
          <w:tcPr>
            <w:tcW w:w="1171" w:type="pct"/>
            <w:vAlign w:val="center"/>
          </w:tcPr>
          <w:p w14:paraId="1C20243D">
            <w:pPr>
              <w:widowControl/>
              <w:jc w:val="center"/>
              <w:rPr>
                <w:rFonts w:ascii="宋体" w:hAnsi="宋体"/>
                <w:b/>
                <w:bCs/>
                <w:szCs w:val="21"/>
              </w:rPr>
            </w:pPr>
            <w:r>
              <w:rPr>
                <w:rFonts w:hint="eastAsia" w:ascii="宋体" w:hAnsi="宋体"/>
                <w:b/>
                <w:bCs/>
                <w:szCs w:val="21"/>
              </w:rPr>
              <w:t>产品品牌/型号</w:t>
            </w:r>
          </w:p>
        </w:tc>
        <w:tc>
          <w:tcPr>
            <w:tcW w:w="787" w:type="pct"/>
            <w:vAlign w:val="center"/>
          </w:tcPr>
          <w:p w14:paraId="181B0B42">
            <w:pPr>
              <w:widowControl/>
              <w:jc w:val="center"/>
              <w:rPr>
                <w:rFonts w:ascii="宋体" w:hAnsi="宋体"/>
                <w:b/>
                <w:bCs/>
                <w:szCs w:val="21"/>
              </w:rPr>
            </w:pPr>
            <w:r>
              <w:rPr>
                <w:rFonts w:hint="eastAsia" w:ascii="宋体" w:hAnsi="宋体"/>
                <w:b/>
                <w:bCs/>
                <w:szCs w:val="21"/>
              </w:rPr>
              <w:t>限价</w:t>
            </w:r>
          </w:p>
        </w:tc>
      </w:tr>
      <w:tr w14:paraId="1F984C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1" w:type="pct"/>
            <w:vAlign w:val="center"/>
          </w:tcPr>
          <w:p w14:paraId="689E74B6">
            <w:pPr>
              <w:widowControl/>
              <w:jc w:val="center"/>
              <w:rPr>
                <w:rFonts w:ascii="宋体" w:hAnsi="宋体" w:cs="宋体"/>
                <w:szCs w:val="21"/>
              </w:rPr>
            </w:pPr>
            <w:r>
              <w:rPr>
                <w:rFonts w:hint="eastAsia" w:asciiTheme="majorEastAsia" w:hAnsiTheme="majorEastAsia" w:eastAsiaTheme="majorEastAsia"/>
                <w:szCs w:val="24"/>
              </w:rPr>
              <w:t>比表面积及孔径测试仪</w:t>
            </w:r>
          </w:p>
        </w:tc>
        <w:tc>
          <w:tcPr>
            <w:tcW w:w="689" w:type="pct"/>
            <w:vAlign w:val="center"/>
          </w:tcPr>
          <w:p w14:paraId="21F0635A">
            <w:pPr>
              <w:widowControl/>
              <w:jc w:val="center"/>
              <w:rPr>
                <w:rFonts w:ascii="宋体" w:hAnsi="宋体" w:cs="宋体"/>
                <w:szCs w:val="21"/>
              </w:rPr>
            </w:pPr>
            <w:r>
              <w:rPr>
                <w:rFonts w:hint="eastAsia" w:ascii="宋体" w:hAnsi="宋体" w:cs="宋体"/>
                <w:szCs w:val="21"/>
              </w:rPr>
              <w:t>1</w:t>
            </w:r>
          </w:p>
        </w:tc>
        <w:tc>
          <w:tcPr>
            <w:tcW w:w="1560" w:type="pct"/>
            <w:vAlign w:val="center"/>
          </w:tcPr>
          <w:p w14:paraId="1E20497E">
            <w:pPr>
              <w:spacing w:line="360" w:lineRule="auto"/>
              <w:rPr>
                <w:sz w:val="24"/>
                <w:szCs w:val="24"/>
              </w:rPr>
            </w:pPr>
            <w:r>
              <w:rPr>
                <w:rFonts w:hint="eastAsia" w:ascii="宋体" w:hAnsi="宋体" w:cs="宋体"/>
                <w:sz w:val="24"/>
                <w:szCs w:val="24"/>
              </w:rPr>
              <w:t>小写：</w:t>
            </w:r>
            <w:r>
              <w:rPr>
                <w:rFonts w:hint="eastAsia" w:ascii="宋体" w:hAnsi="宋体" w:cs="宋体"/>
                <w:sz w:val="24"/>
                <w:szCs w:val="24"/>
                <w:u w:val="single"/>
              </w:rPr>
              <w:t xml:space="preserve">                   </w:t>
            </w:r>
          </w:p>
          <w:p w14:paraId="57B0196D">
            <w:pPr>
              <w:widowControl/>
              <w:rPr>
                <w:rFonts w:ascii="宋体" w:hAnsi="宋体" w:cs="宋体"/>
                <w:sz w:val="24"/>
                <w:szCs w:val="24"/>
              </w:rPr>
            </w:pPr>
            <w:r>
              <w:rPr>
                <w:rFonts w:hint="eastAsia" w:ascii="宋体" w:hAnsi="宋体" w:cs="宋体"/>
                <w:sz w:val="24"/>
                <w:szCs w:val="24"/>
              </w:rPr>
              <w:t>大写：</w:t>
            </w:r>
            <w:r>
              <w:rPr>
                <w:rFonts w:hint="eastAsia" w:ascii="宋体" w:hAnsi="宋体" w:cs="宋体"/>
                <w:sz w:val="24"/>
                <w:szCs w:val="24"/>
                <w:u w:val="single"/>
              </w:rPr>
              <w:t xml:space="preserve">                  </w:t>
            </w:r>
            <w:r>
              <w:rPr>
                <w:rFonts w:hint="eastAsia" w:ascii="宋体" w:hAnsi="宋体" w:cs="宋体"/>
                <w:sz w:val="24"/>
                <w:u w:val="single"/>
              </w:rPr>
              <w:t xml:space="preserve">              </w:t>
            </w:r>
          </w:p>
        </w:tc>
        <w:tc>
          <w:tcPr>
            <w:tcW w:w="1171" w:type="pct"/>
            <w:vAlign w:val="center"/>
          </w:tcPr>
          <w:p w14:paraId="19CC3C59">
            <w:pPr>
              <w:spacing w:line="360" w:lineRule="auto"/>
              <w:jc w:val="center"/>
              <w:rPr>
                <w:rFonts w:ascii="宋体" w:hAnsi="宋体" w:cs="宋体"/>
                <w:szCs w:val="21"/>
              </w:rPr>
            </w:pPr>
          </w:p>
        </w:tc>
        <w:tc>
          <w:tcPr>
            <w:tcW w:w="787" w:type="pct"/>
            <w:vAlign w:val="center"/>
          </w:tcPr>
          <w:p w14:paraId="4B33DC54">
            <w:pPr>
              <w:widowControl/>
              <w:jc w:val="center"/>
              <w:rPr>
                <w:rFonts w:ascii="宋体" w:hAnsi="宋体" w:cs="宋体"/>
                <w:b/>
                <w:bCs/>
                <w:szCs w:val="21"/>
              </w:rPr>
            </w:pPr>
            <w:r>
              <w:rPr>
                <w:rFonts w:hint="eastAsia" w:ascii="宋体" w:hAnsi="宋体" w:cs="宋体"/>
                <w:b/>
                <w:bCs/>
                <w:szCs w:val="21"/>
              </w:rPr>
              <w:t>40</w:t>
            </w:r>
            <w:r>
              <w:rPr>
                <w:rFonts w:hint="eastAsia" w:ascii="宋体" w:hAnsi="宋体"/>
                <w:b/>
                <w:bCs/>
                <w:szCs w:val="21"/>
              </w:rPr>
              <w:t>万元</w:t>
            </w:r>
          </w:p>
        </w:tc>
      </w:tr>
    </w:tbl>
    <w:p w14:paraId="30C03BE4">
      <w:pPr>
        <w:spacing w:before="480" w:beforeLines="200" w:after="240" w:afterLines="100" w:line="360" w:lineRule="auto"/>
        <w:jc w:val="right"/>
        <w:rPr>
          <w:rFonts w:asciiTheme="majorEastAsia" w:hAnsiTheme="majorEastAsia" w:eastAsiaTheme="majorEastAsia"/>
        </w:rPr>
      </w:pPr>
      <w:r>
        <w:rPr>
          <w:rFonts w:hint="eastAsia" w:asciiTheme="majorEastAsia" w:hAnsiTheme="majorEastAsia" w:eastAsiaTheme="majorEastAsia"/>
        </w:rPr>
        <w:t>供应商</w:t>
      </w:r>
      <w:r>
        <w:rPr>
          <w:rFonts w:asciiTheme="majorEastAsia" w:hAnsiTheme="majorEastAsia" w:eastAsiaTheme="majorEastAsia"/>
        </w:rPr>
        <w:t>名称：</w:t>
      </w:r>
      <w:r>
        <w:rPr>
          <w:rFonts w:asciiTheme="majorEastAsia" w:hAnsiTheme="majorEastAsia" w:eastAsiaTheme="majorEastAsia"/>
          <w:u w:val="single"/>
        </w:rPr>
        <w:t xml:space="preserve">                     </w:t>
      </w:r>
      <w:r>
        <w:rPr>
          <w:rFonts w:asciiTheme="majorEastAsia" w:hAnsiTheme="majorEastAsia" w:eastAsiaTheme="majorEastAsia"/>
        </w:rPr>
        <w:t>（盖单位公章）</w:t>
      </w:r>
    </w:p>
    <w:p w14:paraId="59C66248">
      <w:pPr>
        <w:spacing w:before="240" w:beforeLines="100" w:after="240" w:afterLines="100" w:line="360" w:lineRule="auto"/>
        <w:jc w:val="right"/>
        <w:rPr>
          <w:rFonts w:asciiTheme="majorEastAsia" w:hAnsiTheme="majorEastAsia" w:eastAsiaTheme="majorEastAsia"/>
        </w:rPr>
      </w:pPr>
      <w:r>
        <w:rPr>
          <w:rFonts w:asciiTheme="majorEastAsia" w:hAnsiTheme="majorEastAsia" w:eastAsiaTheme="majorEastAsia"/>
        </w:rPr>
        <w:t>法定代表人或者其委托代理人：</w:t>
      </w:r>
      <w:r>
        <w:rPr>
          <w:rFonts w:asciiTheme="majorEastAsia" w:hAnsiTheme="majorEastAsia" w:eastAsiaTheme="majorEastAsia"/>
          <w:u w:val="single"/>
        </w:rPr>
        <w:t xml:space="preserve">           </w:t>
      </w:r>
      <w:r>
        <w:rPr>
          <w:rFonts w:asciiTheme="majorEastAsia" w:hAnsiTheme="majorEastAsia" w:eastAsiaTheme="majorEastAsia"/>
        </w:rPr>
        <w:t>（签字）</w:t>
      </w:r>
    </w:p>
    <w:p w14:paraId="2AB556CC">
      <w:pPr>
        <w:spacing w:before="240" w:beforeLines="100" w:after="240" w:afterLines="100" w:line="360" w:lineRule="auto"/>
        <w:jc w:val="right"/>
        <w:rPr>
          <w:rFonts w:asciiTheme="majorEastAsia" w:hAnsiTheme="majorEastAsia" w:eastAsiaTheme="majorEastAsia"/>
        </w:rPr>
      </w:pPr>
      <w:r>
        <w:rPr>
          <w:rFonts w:hint="eastAsia" w:asciiTheme="majorEastAsia" w:hAnsiTheme="majorEastAsia" w:eastAsiaTheme="majorEastAsia"/>
        </w:rPr>
        <w:t>日期：</w:t>
      </w:r>
      <w:r>
        <w:rPr>
          <w:rFonts w:asciiTheme="majorEastAsia" w:hAnsiTheme="majorEastAsia" w:eastAsiaTheme="majorEastAsia"/>
          <w:u w:val="single"/>
        </w:rPr>
        <w:t xml:space="preserve">      </w:t>
      </w:r>
      <w:r>
        <w:rPr>
          <w:rFonts w:asciiTheme="majorEastAsia" w:hAnsiTheme="majorEastAsia" w:eastAsiaTheme="majorEastAsia"/>
        </w:rPr>
        <w:t>年</w:t>
      </w:r>
      <w:r>
        <w:rPr>
          <w:rFonts w:asciiTheme="majorEastAsia" w:hAnsiTheme="majorEastAsia" w:eastAsiaTheme="majorEastAsia"/>
          <w:u w:val="single"/>
        </w:rPr>
        <w:t xml:space="preserve">       </w:t>
      </w:r>
      <w:r>
        <w:rPr>
          <w:rFonts w:asciiTheme="majorEastAsia" w:hAnsiTheme="majorEastAsia" w:eastAsiaTheme="majorEastAsia"/>
        </w:rPr>
        <w:t>月</w:t>
      </w:r>
      <w:r>
        <w:rPr>
          <w:rFonts w:asciiTheme="majorEastAsia" w:hAnsiTheme="majorEastAsia" w:eastAsiaTheme="majorEastAsia"/>
          <w:u w:val="single"/>
        </w:rPr>
        <w:t xml:space="preserve">      </w:t>
      </w:r>
      <w:r>
        <w:rPr>
          <w:rFonts w:asciiTheme="majorEastAsia" w:hAnsiTheme="majorEastAsia" w:eastAsiaTheme="majorEastAsia"/>
        </w:rPr>
        <w:t>日</w:t>
      </w:r>
    </w:p>
    <w:p w14:paraId="09CFA681">
      <w:pPr>
        <w:spacing w:line="360" w:lineRule="auto"/>
        <w:rPr>
          <w:rFonts w:asciiTheme="majorEastAsia" w:hAnsiTheme="majorEastAsia" w:eastAsiaTheme="majorEastAsia"/>
          <w:b/>
          <w:bCs/>
        </w:rPr>
      </w:pPr>
      <w:r>
        <w:rPr>
          <w:rFonts w:asciiTheme="majorEastAsia" w:hAnsiTheme="majorEastAsia" w:eastAsiaTheme="majorEastAsia"/>
          <w:b/>
          <w:bCs/>
        </w:rPr>
        <w:t>注：</w:t>
      </w:r>
    </w:p>
    <w:p w14:paraId="7E3366E5">
      <w:pPr>
        <w:pStyle w:val="19"/>
        <w:spacing w:line="360" w:lineRule="auto"/>
        <w:ind w:left="0" w:leftChars="0"/>
        <w:rPr>
          <w:rFonts w:eastAsiaTheme="majorEastAsia"/>
        </w:rPr>
      </w:pPr>
      <w:r>
        <w:rPr>
          <w:rFonts w:hint="eastAsia" w:asciiTheme="majorEastAsia" w:hAnsiTheme="majorEastAsia" w:eastAsiaTheme="majorEastAsia"/>
          <w:szCs w:val="21"/>
        </w:rPr>
        <w:t>1.供应商不得实质性改动响应一览表格式及内容。</w:t>
      </w:r>
    </w:p>
    <w:p w14:paraId="14FF5CB3">
      <w:pPr>
        <w:spacing w:line="360" w:lineRule="auto"/>
      </w:pPr>
      <w:r>
        <w:rPr>
          <w:rFonts w:hint="eastAsia" w:asciiTheme="majorEastAsia" w:hAnsiTheme="majorEastAsia" w:eastAsiaTheme="majorEastAsia"/>
        </w:rPr>
        <w:t>2.响应一览表除了装订在</w:t>
      </w:r>
      <w:r>
        <w:rPr>
          <w:rFonts w:hint="eastAsia"/>
        </w:rPr>
        <w:t>响应文件中以外，还需要</w:t>
      </w:r>
      <w:r>
        <w:rPr>
          <w:rFonts w:hint="eastAsia"/>
          <w:b/>
          <w:bCs/>
        </w:rPr>
        <w:t>提供一份单独密封的响应一览表及响应报价清单（如有），单独密封的响应一览表及响应报价清单（如有）仅是为方便唱标所用</w:t>
      </w:r>
      <w:r>
        <w:rPr>
          <w:rFonts w:hint="eastAsia"/>
        </w:rPr>
        <w:t>，如未提供，不构成响应文件的完整性偏离。</w:t>
      </w:r>
    </w:p>
    <w:p w14:paraId="2393FC19">
      <w:pPr>
        <w:spacing w:line="360" w:lineRule="auto"/>
        <w:rPr>
          <w:rFonts w:asciiTheme="majorEastAsia" w:hAnsiTheme="majorEastAsia" w:eastAsiaTheme="majorEastAsia"/>
        </w:rPr>
      </w:pPr>
      <w:r>
        <w:rPr>
          <w:rFonts w:hint="eastAsia"/>
        </w:rPr>
        <w:t>3</w:t>
      </w:r>
      <w:r>
        <w:t>.</w:t>
      </w:r>
      <w:r>
        <w:rPr>
          <w:rFonts w:asciiTheme="majorEastAsia" w:hAnsiTheme="majorEastAsia" w:eastAsiaTheme="majorEastAsia"/>
        </w:rPr>
        <w:t xml:space="preserve"> </w:t>
      </w:r>
      <w:r>
        <w:rPr>
          <w:rFonts w:hint="eastAsia" w:asciiTheme="majorEastAsia" w:hAnsiTheme="majorEastAsia" w:eastAsiaTheme="majorEastAsia"/>
        </w:rPr>
        <w:t>响应</w:t>
      </w:r>
      <w:r>
        <w:rPr>
          <w:rFonts w:asciiTheme="majorEastAsia" w:hAnsiTheme="majorEastAsia" w:eastAsiaTheme="majorEastAsia"/>
        </w:rPr>
        <w:t>报价不得超过最高限价，否则作无效</w:t>
      </w:r>
      <w:r>
        <w:rPr>
          <w:rFonts w:hint="eastAsia" w:asciiTheme="majorEastAsia" w:hAnsiTheme="majorEastAsia" w:eastAsiaTheme="majorEastAsia"/>
        </w:rPr>
        <w:t>响应</w:t>
      </w:r>
      <w:r>
        <w:rPr>
          <w:rFonts w:asciiTheme="majorEastAsia" w:hAnsiTheme="majorEastAsia" w:eastAsiaTheme="majorEastAsia"/>
        </w:rPr>
        <w:t>处理</w:t>
      </w:r>
      <w:r>
        <w:rPr>
          <w:rFonts w:hint="eastAsia" w:asciiTheme="majorEastAsia" w:hAnsiTheme="majorEastAsia" w:eastAsiaTheme="majorEastAsia"/>
        </w:rPr>
        <w:t>。</w:t>
      </w:r>
    </w:p>
    <w:p w14:paraId="7F3AFFFA">
      <w:pPr>
        <w:spacing w:line="360" w:lineRule="auto"/>
        <w:rPr>
          <w:rFonts w:asciiTheme="majorEastAsia" w:hAnsiTheme="majorEastAsia" w:eastAsiaTheme="majorEastAsia"/>
        </w:rPr>
      </w:pPr>
    </w:p>
    <w:p w14:paraId="157B232B">
      <w:pPr>
        <w:spacing w:line="360" w:lineRule="auto"/>
        <w:jc w:val="left"/>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3000DA26">
      <w:pPr>
        <w:pStyle w:val="17"/>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四、资格证明文件</w:t>
      </w:r>
    </w:p>
    <w:p w14:paraId="2BBDC01E">
      <w:pPr>
        <w:pStyle w:val="270"/>
        <w:shd w:val="clear" w:color="auto" w:fill="auto"/>
        <w:spacing w:line="360" w:lineRule="auto"/>
        <w:outlineLvl w:val="9"/>
        <w:rPr>
          <w:color w:val="000000" w:themeColor="text1"/>
          <w14:textFill>
            <w14:solidFill>
              <w14:schemeClr w14:val="tx1"/>
            </w14:solidFill>
          </w14:textFill>
        </w:rPr>
      </w:pPr>
      <w:bookmarkStart w:id="16" w:name="_Toc489655335"/>
      <w:r>
        <w:rPr>
          <w:color w:val="000000" w:themeColor="text1"/>
          <w14:textFill>
            <w14:solidFill>
              <w14:schemeClr w14:val="tx1"/>
            </w14:solidFill>
          </w14:textFill>
        </w:rPr>
        <w:t>资格证明文件</w:t>
      </w:r>
      <w:bookmarkEnd w:id="16"/>
    </w:p>
    <w:p w14:paraId="29801059">
      <w:pPr>
        <w:pStyle w:val="17"/>
        <w:numPr>
          <w:ilvl w:val="0"/>
          <w:numId w:val="63"/>
        </w:numPr>
        <w:spacing w:line="360" w:lineRule="auto"/>
        <w:ind w:firstLineChars="0"/>
        <w:rPr>
          <w:b w:val="0"/>
          <w:bCs/>
          <w:color w:val="000000" w:themeColor="text1"/>
          <w14:textFill>
            <w14:solidFill>
              <w14:schemeClr w14:val="tx1"/>
            </w14:solidFill>
          </w14:textFill>
        </w:rPr>
      </w:pPr>
      <w:r>
        <w:rPr>
          <w:b w:val="0"/>
          <w:bCs/>
          <w:color w:val="000000" w:themeColor="text1"/>
          <w14:textFill>
            <w14:solidFill>
              <w14:schemeClr w14:val="tx1"/>
            </w14:solidFill>
          </w14:textFill>
        </w:rPr>
        <w:t>满足《中华人民共和国政府采购法》第二十二条规定：</w:t>
      </w:r>
    </w:p>
    <w:p w14:paraId="30FFEAD1">
      <w:pPr>
        <w:pStyle w:val="17"/>
        <w:numPr>
          <w:ilvl w:val="0"/>
          <w:numId w:val="64"/>
        </w:numPr>
        <w:spacing w:line="360" w:lineRule="auto"/>
        <w:ind w:firstLineChars="0"/>
        <w:rPr>
          <w:b w:val="0"/>
          <w:bCs/>
          <w:color w:val="000000" w:themeColor="text1"/>
          <w14:textFill>
            <w14:solidFill>
              <w14:schemeClr w14:val="tx1"/>
            </w14:solidFill>
          </w14:textFill>
        </w:rPr>
      </w:pPr>
      <w:r>
        <w:rPr>
          <w:b w:val="0"/>
          <w:bCs/>
          <w:color w:val="000000" w:themeColor="text1"/>
          <w14:textFill>
            <w14:solidFill>
              <w14:schemeClr w14:val="tx1"/>
            </w14:solidFill>
          </w14:textFill>
        </w:rPr>
        <w:t>具有独立承担民事责任的能力（提供法人或者其他组织的营业执照</w:t>
      </w:r>
      <w:r>
        <w:rPr>
          <w:rFonts w:hint="eastAsia"/>
          <w:b w:val="0"/>
          <w:bCs/>
          <w:color w:val="000000" w:themeColor="text1"/>
          <w14:textFill>
            <w14:solidFill>
              <w14:schemeClr w14:val="tx1"/>
            </w14:solidFill>
          </w14:textFill>
        </w:rPr>
        <w:t>等证明材料</w:t>
      </w:r>
      <w:r>
        <w:rPr>
          <w:b w:val="0"/>
          <w:bCs/>
          <w:color w:val="000000" w:themeColor="text1"/>
          <w14:textFill>
            <w14:solidFill>
              <w14:schemeClr w14:val="tx1"/>
            </w14:solidFill>
          </w14:textFill>
        </w:rPr>
        <w:t>复印件加盖公章，自然人的身份证复印件加盖公章）；</w:t>
      </w:r>
    </w:p>
    <w:p w14:paraId="64E02E83">
      <w:pPr>
        <w:pStyle w:val="17"/>
        <w:numPr>
          <w:ilvl w:val="0"/>
          <w:numId w:val="64"/>
        </w:numPr>
        <w:spacing w:line="360" w:lineRule="auto"/>
        <w:ind w:firstLineChars="0"/>
        <w:rPr>
          <w:b w:val="0"/>
          <w:bCs/>
          <w:color w:val="000000" w:themeColor="text1"/>
          <w14:textFill>
            <w14:solidFill>
              <w14:schemeClr w14:val="tx1"/>
            </w14:solidFill>
          </w14:textFill>
        </w:rPr>
      </w:pPr>
      <w:r>
        <w:rPr>
          <w:b w:val="0"/>
          <w:bCs/>
          <w:color w:val="000000" w:themeColor="text1"/>
          <w14:textFill>
            <w14:solidFill>
              <w14:schemeClr w14:val="tx1"/>
            </w14:solidFill>
          </w14:textFill>
        </w:rPr>
        <w:t>具有良好的商业信誉和健全的财务会计制度（提供</w:t>
      </w:r>
      <w:r>
        <w:rPr>
          <w:rFonts w:hint="eastAsia"/>
          <w:b w:val="0"/>
          <w:bCs/>
          <w:color w:val="000000" w:themeColor="text1"/>
          <w14:textFill>
            <w14:solidFill>
              <w14:schemeClr w14:val="tx1"/>
            </w14:solidFill>
          </w14:textFill>
        </w:rPr>
        <w:t>2025年度</w:t>
      </w:r>
      <w:r>
        <w:rPr>
          <w:b w:val="0"/>
          <w:bCs/>
          <w:color w:val="000000" w:themeColor="text1"/>
          <w14:textFill>
            <w14:solidFill>
              <w14:schemeClr w14:val="tx1"/>
            </w14:solidFill>
          </w14:textFill>
        </w:rPr>
        <w:t>的审计报告复印件加盖公章或响应截止时间前</w:t>
      </w:r>
      <w:r>
        <w:rPr>
          <w:rFonts w:hint="eastAsia"/>
          <w:b w:val="0"/>
          <w:bCs/>
          <w:color w:val="000000" w:themeColor="text1"/>
          <w14:textFill>
            <w14:solidFill>
              <w14:schemeClr w14:val="tx1"/>
            </w14:solidFill>
          </w14:textFill>
        </w:rPr>
        <w:t>半年</w:t>
      </w:r>
      <w:r>
        <w:rPr>
          <w:b w:val="0"/>
          <w:bCs/>
          <w:color w:val="000000" w:themeColor="text1"/>
          <w14:textFill>
            <w14:solidFill>
              <w14:schemeClr w14:val="tx1"/>
            </w14:solidFill>
          </w14:textFill>
        </w:rPr>
        <w:t>内</w:t>
      </w:r>
      <w:r>
        <w:rPr>
          <w:rFonts w:hint="eastAsia"/>
          <w:b w:val="0"/>
          <w:bCs/>
          <w:color w:val="000000" w:themeColor="text1"/>
          <w:szCs w:val="24"/>
          <w14:textFill>
            <w14:solidFill>
              <w14:schemeClr w14:val="tx1"/>
            </w14:solidFill>
          </w14:textFill>
        </w:rPr>
        <w:t>（2026年1月至2026年6月</w:t>
      </w:r>
      <w:r>
        <w:rPr>
          <w:rFonts w:hint="eastAsia"/>
          <w:b w:val="0"/>
          <w:bCs/>
          <w:color w:val="000000" w:themeColor="text1"/>
          <w14:textFill>
            <w14:solidFill>
              <w14:schemeClr w14:val="tx1"/>
            </w14:solidFill>
          </w14:textFill>
        </w:rPr>
        <w:t>）</w:t>
      </w:r>
      <w:r>
        <w:rPr>
          <w:b w:val="0"/>
          <w:bCs/>
          <w:color w:val="000000" w:themeColor="text1"/>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b w:val="0"/>
          <w:bCs/>
          <w:color w:val="000000" w:themeColor="text1"/>
          <w14:textFill>
            <w14:solidFill>
              <w14:schemeClr w14:val="tx1"/>
            </w14:solidFill>
          </w14:textFill>
        </w:rPr>
        <w:t>个月</w:t>
      </w:r>
      <w:r>
        <w:rPr>
          <w:b w:val="0"/>
          <w:bCs/>
          <w:color w:val="000000" w:themeColor="text1"/>
          <w14:textFill>
            <w14:solidFill>
              <w14:schemeClr w14:val="tx1"/>
            </w14:solidFill>
          </w14:textFill>
        </w:rPr>
        <w:t>的无须提供）；</w:t>
      </w:r>
    </w:p>
    <w:p w14:paraId="07654896">
      <w:pPr>
        <w:pStyle w:val="17"/>
        <w:numPr>
          <w:ilvl w:val="0"/>
          <w:numId w:val="64"/>
        </w:numPr>
        <w:spacing w:line="360" w:lineRule="auto"/>
        <w:ind w:firstLineChars="0"/>
        <w:rPr>
          <w:b w:val="0"/>
          <w:bCs/>
          <w:color w:val="000000" w:themeColor="text1"/>
          <w14:textFill>
            <w14:solidFill>
              <w14:schemeClr w14:val="tx1"/>
            </w14:solidFill>
          </w14:textFill>
        </w:rPr>
      </w:pPr>
      <w:r>
        <w:rPr>
          <w:b w:val="0"/>
          <w:bCs/>
          <w:color w:val="000000" w:themeColor="text1"/>
          <w14:textFill>
            <w14:solidFill>
              <w14:schemeClr w14:val="tx1"/>
            </w14:solidFill>
          </w14:textFill>
        </w:rPr>
        <w:t>具有履行合同所必需的设备和专业技术能力（根据项目需求提供履行合同所必需的设备和专业技术能力的声明函或证明材料）（格式见后附件）；</w:t>
      </w:r>
    </w:p>
    <w:p w14:paraId="539E52AC">
      <w:pPr>
        <w:pStyle w:val="17"/>
        <w:numPr>
          <w:ilvl w:val="0"/>
          <w:numId w:val="64"/>
        </w:numPr>
        <w:spacing w:line="360" w:lineRule="auto"/>
        <w:ind w:firstLineChars="0"/>
        <w:rPr>
          <w:b w:val="0"/>
          <w:bCs/>
          <w:color w:val="000000" w:themeColor="text1"/>
          <w14:textFill>
            <w14:solidFill>
              <w14:schemeClr w14:val="tx1"/>
            </w14:solidFill>
          </w14:textFill>
        </w:rPr>
      </w:pPr>
      <w:r>
        <w:rPr>
          <w:b w:val="0"/>
          <w:bCs/>
          <w:color w:val="000000" w:themeColor="text1"/>
          <w14:textFill>
            <w14:solidFill>
              <w14:schemeClr w14:val="tx1"/>
            </w14:solidFill>
          </w14:textFill>
        </w:rPr>
        <w:t>有依法缴纳税收和社会保障资金的良好记录（提供响应截止时间前</w:t>
      </w:r>
      <w:r>
        <w:rPr>
          <w:rFonts w:hint="eastAsia"/>
          <w:b w:val="0"/>
          <w:bCs/>
          <w:color w:val="000000" w:themeColor="text1"/>
          <w14:textFill>
            <w14:solidFill>
              <w14:schemeClr w14:val="tx1"/>
            </w14:solidFill>
          </w14:textFill>
        </w:rPr>
        <w:t>半年</w:t>
      </w:r>
      <w:r>
        <w:rPr>
          <w:b w:val="0"/>
          <w:bCs/>
          <w:color w:val="000000" w:themeColor="text1"/>
          <w14:textFill>
            <w14:solidFill>
              <w14:schemeClr w14:val="tx1"/>
            </w14:solidFill>
          </w14:textFill>
        </w:rPr>
        <w:t>内</w:t>
      </w:r>
      <w:r>
        <w:rPr>
          <w:rFonts w:hint="eastAsia"/>
          <w:b w:val="0"/>
          <w:bCs/>
          <w:color w:val="000000" w:themeColor="text1"/>
          <w:szCs w:val="24"/>
          <w14:textFill>
            <w14:solidFill>
              <w14:schemeClr w14:val="tx1"/>
            </w14:solidFill>
          </w14:textFill>
        </w:rPr>
        <w:t>（2026年1月至2026年6月</w:t>
      </w:r>
      <w:r>
        <w:rPr>
          <w:rFonts w:hint="eastAsia"/>
          <w:b w:val="0"/>
          <w:bCs/>
          <w:color w:val="000000" w:themeColor="text1"/>
          <w14:textFill>
            <w14:solidFill>
              <w14:schemeClr w14:val="tx1"/>
            </w14:solidFill>
          </w14:textFill>
        </w:rPr>
        <w:t>）</w:t>
      </w:r>
      <w:r>
        <w:rPr>
          <w:b w:val="0"/>
          <w:bCs/>
          <w:color w:val="000000" w:themeColor="text1"/>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7BD66274">
      <w:pPr>
        <w:pStyle w:val="17"/>
        <w:numPr>
          <w:ilvl w:val="0"/>
          <w:numId w:val="64"/>
        </w:numPr>
        <w:spacing w:line="360" w:lineRule="auto"/>
        <w:ind w:firstLineChars="0"/>
        <w:rPr>
          <w:b w:val="0"/>
          <w:bCs/>
          <w:color w:val="000000" w:themeColor="text1"/>
          <w14:textFill>
            <w14:solidFill>
              <w14:schemeClr w14:val="tx1"/>
            </w14:solidFill>
          </w14:textFill>
        </w:rPr>
      </w:pPr>
      <w:r>
        <w:rPr>
          <w:b w:val="0"/>
          <w:bCs/>
          <w:color w:val="000000" w:themeColor="text1"/>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6A8BF167">
      <w:pPr>
        <w:pStyle w:val="17"/>
        <w:numPr>
          <w:ilvl w:val="0"/>
          <w:numId w:val="64"/>
        </w:numPr>
        <w:spacing w:line="360" w:lineRule="auto"/>
        <w:ind w:firstLineChars="0"/>
        <w:rPr>
          <w:b w:val="0"/>
          <w:bCs/>
          <w:color w:val="000000" w:themeColor="text1"/>
          <w14:textFill>
            <w14:solidFill>
              <w14:schemeClr w14:val="tx1"/>
            </w14:solidFill>
          </w14:textFill>
        </w:rPr>
      </w:pPr>
      <w:r>
        <w:rPr>
          <w:b w:val="0"/>
          <w:bCs/>
          <w:color w:val="000000" w:themeColor="text1"/>
          <w14:textFill>
            <w14:solidFill>
              <w14:schemeClr w14:val="tx1"/>
            </w14:solidFill>
          </w14:textFill>
        </w:rPr>
        <w:t>法律、行政法规规定的其他条件：无。</w:t>
      </w:r>
    </w:p>
    <w:p w14:paraId="3A684C62">
      <w:pPr>
        <w:pStyle w:val="17"/>
        <w:numPr>
          <w:ilvl w:val="0"/>
          <w:numId w:val="63"/>
        </w:numPr>
        <w:spacing w:line="360" w:lineRule="auto"/>
        <w:ind w:firstLineChars="0"/>
        <w:rPr>
          <w:rFonts w:ascii="Times New Roman" w:hAnsi="Times New Roman" w:eastAsia="宋体" w:cs="Times New Roman"/>
          <w:b w:val="0"/>
          <w:bCs/>
          <w:color w:val="000000" w:themeColor="text1"/>
          <w14:textFill>
            <w14:solidFill>
              <w14:schemeClr w14:val="tx1"/>
            </w14:solidFill>
          </w14:textFill>
        </w:rPr>
      </w:pPr>
      <w:r>
        <w:rPr>
          <w:rFonts w:ascii="Times New Roman" w:hAnsi="Times New Roman" w:eastAsia="宋体" w:cs="Times New Roman"/>
          <w:b w:val="0"/>
          <w:bCs/>
          <w:color w:val="000000" w:themeColor="text1"/>
          <w14:textFill>
            <w14:solidFill>
              <w14:schemeClr w14:val="tx1"/>
            </w14:solidFill>
          </w14:textFill>
        </w:rPr>
        <w:t>本项目的特定资格要求：</w:t>
      </w:r>
      <w:r>
        <w:rPr>
          <w:rFonts w:hint="eastAsia" w:ascii="Times New Roman" w:hAnsi="Times New Roman" w:eastAsia="宋体" w:cs="Times New Roman"/>
          <w:b w:val="0"/>
          <w:bCs/>
          <w:color w:val="000000" w:themeColor="text1"/>
          <w14:textFill>
            <w14:solidFill>
              <w14:schemeClr w14:val="tx1"/>
            </w14:solidFill>
          </w14:textFill>
        </w:rPr>
        <w:t>无。</w:t>
      </w:r>
    </w:p>
    <w:p w14:paraId="3EA1D2DA">
      <w:pPr>
        <w:pStyle w:val="17"/>
        <w:numPr>
          <w:ilvl w:val="0"/>
          <w:numId w:val="63"/>
        </w:numPr>
        <w:spacing w:line="360" w:lineRule="auto"/>
        <w:ind w:firstLineChars="0"/>
        <w:rPr>
          <w:rFonts w:ascii="Times New Roman" w:hAnsi="Times New Roman" w:eastAsia="宋体" w:cs="Times New Roman"/>
          <w:b w:val="0"/>
          <w:bCs/>
          <w:color w:val="000000" w:themeColor="text1"/>
          <w14:textFill>
            <w14:solidFill>
              <w14:schemeClr w14:val="tx1"/>
            </w14:solidFill>
          </w14:textFill>
        </w:rPr>
      </w:pPr>
      <w:r>
        <w:rPr>
          <w:rFonts w:ascii="Times New Roman" w:hAnsi="Times New Roman" w:eastAsia="宋体" w:cs="Times New Roman"/>
          <w:b w:val="0"/>
          <w:bCs/>
          <w:color w:val="000000" w:themeColor="text1"/>
          <w14:textFill>
            <w14:solidFill>
              <w14:schemeClr w14:val="tx1"/>
            </w14:solidFill>
          </w14:textFill>
        </w:rPr>
        <w:t>拒绝下述供应商参加本次</w:t>
      </w:r>
      <w:r>
        <w:rPr>
          <w:rFonts w:hint="eastAsia" w:ascii="Times New Roman" w:hAnsi="Times New Roman" w:eastAsia="宋体" w:cs="Times New Roman"/>
          <w:b w:val="0"/>
          <w:bCs/>
          <w:color w:val="000000" w:themeColor="text1"/>
          <w14:textFill>
            <w14:solidFill>
              <w14:schemeClr w14:val="tx1"/>
            </w14:solidFill>
          </w14:textFill>
        </w:rPr>
        <w:t>采购</w:t>
      </w:r>
      <w:r>
        <w:rPr>
          <w:rFonts w:ascii="Times New Roman" w:hAnsi="Times New Roman" w:eastAsia="宋体" w:cs="Times New Roman"/>
          <w:b w:val="0"/>
          <w:bCs/>
          <w:color w:val="000000" w:themeColor="text1"/>
          <w14:textFill>
            <w14:solidFill>
              <w14:schemeClr w14:val="tx1"/>
            </w14:solidFill>
          </w14:textFill>
        </w:rPr>
        <w:t>：</w:t>
      </w:r>
    </w:p>
    <w:p w14:paraId="7156959A">
      <w:pPr>
        <w:pStyle w:val="17"/>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①</w:t>
      </w:r>
      <w:r>
        <w:rPr>
          <w:color w:val="000000" w:themeColor="text1"/>
          <w14:textFill>
            <w14:solidFill>
              <w14:schemeClr w14:val="tx1"/>
            </w14:solidFill>
          </w14:textFill>
        </w:rPr>
        <w:t>供应商单位负责人为同一人或者存在直接控股、管理关系的不同供应商，不得参加同一合同项下的采购或采购活动；</w:t>
      </w:r>
    </w:p>
    <w:p w14:paraId="21B636F3">
      <w:pPr>
        <w:pStyle w:val="17"/>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②</w:t>
      </w:r>
      <w:r>
        <w:rPr>
          <w:color w:val="000000" w:themeColor="text1"/>
          <w14:textFill>
            <w14:solidFill>
              <w14:schemeClr w14:val="tx1"/>
            </w14:solidFill>
          </w14:textFill>
        </w:rPr>
        <w:t>凡为本项目提供整体设计、规范编制或者项目管理、检测等服务的供应商，不得再参加本项目的采购或采购活动；</w:t>
      </w:r>
    </w:p>
    <w:p w14:paraId="6666C172">
      <w:pPr>
        <w:pStyle w:val="17"/>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③</w:t>
      </w: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信用中国”网站（www.creditchina.gov.cn）列入失信被执行人、重大税收违法失信主体、</w:t>
      </w:r>
      <w:r>
        <w:rPr>
          <w:rFonts w:hint="eastAsia"/>
          <w:color w:val="000000" w:themeColor="text1"/>
          <w:lang w:eastAsia="zh-CN"/>
          <w14:textFill>
            <w14:solidFill>
              <w14:schemeClr w14:val="tx1"/>
            </w14:solidFill>
          </w14:textFill>
        </w:rPr>
        <w:t>政府采购严重违法失信行为记录名单</w:t>
      </w:r>
      <w:r>
        <w:rPr>
          <w:color w:val="000000" w:themeColor="text1"/>
          <w14:textFill>
            <w14:solidFill>
              <w14:schemeClr w14:val="tx1"/>
            </w14:solidFill>
          </w14:textFill>
        </w:rPr>
        <w:t>。</w:t>
      </w:r>
    </w:p>
    <w:p w14:paraId="0F1822F6">
      <w:pPr>
        <w:spacing w:line="360" w:lineRule="auto"/>
        <w:rPr>
          <w:rFonts w:ascii="宋体" w:hAnsi="宋体" w:cs="宋体"/>
          <w:b/>
          <w:color w:val="000000" w:themeColor="text1"/>
          <w:szCs w:val="21"/>
          <w14:textFill>
            <w14:solidFill>
              <w14:schemeClr w14:val="tx1"/>
            </w14:solidFill>
          </w14:textFill>
        </w:rPr>
      </w:pPr>
    </w:p>
    <w:p w14:paraId="2C01E41A">
      <w:pPr>
        <w:pStyle w:val="17"/>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五</w:t>
      </w:r>
      <w:r>
        <w:rPr>
          <w:b/>
          <w:color w:val="000000" w:themeColor="text1"/>
          <w14:textFill>
            <w14:solidFill>
              <w14:schemeClr w14:val="tx1"/>
            </w14:solidFill>
          </w14:textFill>
        </w:rPr>
        <w:t>、技术条款偏离表</w:t>
      </w:r>
    </w:p>
    <w:p w14:paraId="5F987DC7">
      <w:pPr>
        <w:pStyle w:val="268"/>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技术条款偏离表</w:t>
      </w:r>
    </w:p>
    <w:tbl>
      <w:tblPr>
        <w:tblStyle w:val="45"/>
        <w:tblW w:w="4996" w:type="pct"/>
        <w:jc w:val="center"/>
        <w:tblLayout w:type="autofit"/>
        <w:tblCellMar>
          <w:top w:w="0" w:type="dxa"/>
          <w:left w:w="0" w:type="dxa"/>
          <w:bottom w:w="0" w:type="dxa"/>
          <w:right w:w="0" w:type="dxa"/>
        </w:tblCellMar>
      </w:tblPr>
      <w:tblGrid>
        <w:gridCol w:w="520"/>
        <w:gridCol w:w="1439"/>
        <w:gridCol w:w="2025"/>
        <w:gridCol w:w="1068"/>
        <w:gridCol w:w="1363"/>
        <w:gridCol w:w="1510"/>
        <w:gridCol w:w="1535"/>
      </w:tblGrid>
      <w:tr w14:paraId="067B3924">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781E2E4E">
            <w:pPr>
              <w:adjustRightInd w:val="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项目名称：</w:t>
            </w:r>
          </w:p>
        </w:tc>
        <w:tc>
          <w:tcPr>
            <w:tcW w:w="1518" w:type="pct"/>
            <w:gridSpan w:val="2"/>
            <w:tcBorders>
              <w:top w:val="nil"/>
              <w:left w:val="nil"/>
              <w:bottom w:val="single" w:color="auto" w:sz="6" w:space="0"/>
              <w:right w:val="nil"/>
            </w:tcBorders>
            <w:vAlign w:val="center"/>
          </w:tcPr>
          <w:p w14:paraId="38E35F92">
            <w:pPr>
              <w:adjustRightInd w:val="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项目编号：</w:t>
            </w:r>
          </w:p>
        </w:tc>
        <w:tc>
          <w:tcPr>
            <w:tcW w:w="811" w:type="pct"/>
            <w:tcBorders>
              <w:top w:val="nil"/>
              <w:left w:val="nil"/>
              <w:bottom w:val="single" w:color="auto" w:sz="6" w:space="0"/>
              <w:right w:val="nil"/>
            </w:tcBorders>
            <w:vAlign w:val="center"/>
          </w:tcPr>
          <w:p w14:paraId="05D639FC">
            <w:pPr>
              <w:adjustRightInd w:val="0"/>
              <w:jc w:val="left"/>
              <w:rPr>
                <w:rFonts w:ascii="宋体" w:hAnsi="宋体" w:cs="宋体"/>
                <w:color w:val="000000" w:themeColor="text1"/>
                <w:szCs w:val="21"/>
                <w:lang w:val="zh-CN"/>
                <w14:textFill>
                  <w14:solidFill>
                    <w14:schemeClr w14:val="tx1"/>
                  </w14:solidFill>
                </w14:textFill>
              </w:rPr>
            </w:pPr>
          </w:p>
        </w:tc>
      </w:tr>
      <w:tr w14:paraId="30CA51BD">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404BBD38">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34A6EE74">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03169B35">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文件要求的技术</w:t>
            </w:r>
            <w:r>
              <w:rPr>
                <w:rFonts w:hint="eastAsia" w:ascii="宋体" w:hAnsi="宋体" w:cs="宋体"/>
                <w:b/>
                <w:color w:val="000000" w:themeColor="text1"/>
                <w:szCs w:val="21"/>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54CE32C">
            <w:pPr>
              <w:adjustRightIn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响应</w:t>
            </w:r>
            <w:r>
              <w:rPr>
                <w:rFonts w:hint="eastAsia" w:ascii="宋体" w:hAnsi="宋体" w:cs="宋体"/>
                <w:b/>
                <w:color w:val="000000" w:themeColor="text1"/>
                <w:szCs w:val="21"/>
                <w14:textFill>
                  <w14:solidFill>
                    <w14:schemeClr w14:val="tx1"/>
                  </w14:solidFill>
                </w14:textFill>
              </w:rPr>
              <w:t>情况</w:t>
            </w:r>
          </w:p>
        </w:tc>
        <w:tc>
          <w:tcPr>
            <w:tcW w:w="797" w:type="pct"/>
            <w:tcBorders>
              <w:top w:val="single" w:color="auto" w:sz="6" w:space="0"/>
              <w:left w:val="single" w:color="auto" w:sz="6" w:space="0"/>
              <w:bottom w:val="single" w:color="auto" w:sz="6" w:space="0"/>
              <w:right w:val="single" w:color="auto" w:sz="6" w:space="0"/>
            </w:tcBorders>
            <w:vAlign w:val="center"/>
          </w:tcPr>
          <w:p w14:paraId="41B3DB30">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偏离</w:t>
            </w:r>
          </w:p>
        </w:tc>
        <w:tc>
          <w:tcPr>
            <w:tcW w:w="811" w:type="pct"/>
            <w:tcBorders>
              <w:top w:val="single" w:color="auto" w:sz="6" w:space="0"/>
              <w:left w:val="single" w:color="auto" w:sz="6" w:space="0"/>
              <w:bottom w:val="single" w:color="auto" w:sz="6" w:space="0"/>
              <w:right w:val="single" w:color="auto" w:sz="6" w:space="0"/>
            </w:tcBorders>
            <w:vAlign w:val="center"/>
          </w:tcPr>
          <w:p w14:paraId="2BECA6DE">
            <w:pPr>
              <w:adjustRightIn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对应页码</w:t>
            </w:r>
          </w:p>
        </w:tc>
      </w:tr>
      <w:tr w14:paraId="68A9811C">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5CAE9740">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0ED590E">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C7E29A8">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F10D505">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33C8E321">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3CBE3950">
            <w:pPr>
              <w:adjustRightInd w:val="0"/>
              <w:jc w:val="center"/>
              <w:rPr>
                <w:rFonts w:ascii="宋体" w:hAnsi="宋体" w:cs="宋体"/>
                <w:color w:val="000000" w:themeColor="text1"/>
                <w:szCs w:val="21"/>
                <w:lang w:val="zh-CN"/>
                <w14:textFill>
                  <w14:solidFill>
                    <w14:schemeClr w14:val="tx1"/>
                  </w14:solidFill>
                </w14:textFill>
              </w:rPr>
            </w:pPr>
          </w:p>
        </w:tc>
      </w:tr>
      <w:tr w14:paraId="7BB3AB6D">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49CB0136">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0BFA5FFE">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F4151EA">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7F05227">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498C7B55">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2D644B90">
            <w:pPr>
              <w:adjustRightInd w:val="0"/>
              <w:jc w:val="center"/>
              <w:rPr>
                <w:rFonts w:ascii="宋体" w:hAnsi="宋体" w:cs="宋体"/>
                <w:color w:val="000000" w:themeColor="text1"/>
                <w:szCs w:val="21"/>
                <w:lang w:val="zh-CN"/>
                <w14:textFill>
                  <w14:solidFill>
                    <w14:schemeClr w14:val="tx1"/>
                  </w14:solidFill>
                </w14:textFill>
              </w:rPr>
            </w:pPr>
          </w:p>
        </w:tc>
      </w:tr>
      <w:tr w14:paraId="4E9A245B">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36C465D1">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2782C816">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5F42C091">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EE26CF2">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6F7A3376">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3E1534DF">
            <w:pPr>
              <w:adjustRightInd w:val="0"/>
              <w:jc w:val="center"/>
              <w:rPr>
                <w:rFonts w:ascii="宋体" w:hAnsi="宋体" w:cs="宋体"/>
                <w:color w:val="000000" w:themeColor="text1"/>
                <w:szCs w:val="21"/>
                <w:lang w:val="zh-CN"/>
                <w14:textFill>
                  <w14:solidFill>
                    <w14:schemeClr w14:val="tx1"/>
                  </w14:solidFill>
                </w14:textFill>
              </w:rPr>
            </w:pPr>
          </w:p>
        </w:tc>
      </w:tr>
      <w:tr w14:paraId="0CCAAFF2">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0A718CA1">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12CC099">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6CE58BB1">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3D2CE489">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7E483083">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3279FC24">
            <w:pPr>
              <w:adjustRightInd w:val="0"/>
              <w:jc w:val="center"/>
              <w:rPr>
                <w:rFonts w:ascii="宋体" w:hAnsi="宋体" w:cs="宋体"/>
                <w:color w:val="000000" w:themeColor="text1"/>
                <w:szCs w:val="21"/>
                <w:lang w:val="zh-CN"/>
                <w14:textFill>
                  <w14:solidFill>
                    <w14:schemeClr w14:val="tx1"/>
                  </w14:solidFill>
                </w14:textFill>
              </w:rPr>
            </w:pPr>
          </w:p>
        </w:tc>
      </w:tr>
      <w:tr w14:paraId="441727CD">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56CC9999">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022D75C0">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250B0132">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3239A8B8">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690A653F">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4EDB09E3">
            <w:pPr>
              <w:adjustRightInd w:val="0"/>
              <w:jc w:val="center"/>
              <w:rPr>
                <w:rFonts w:ascii="宋体" w:hAnsi="宋体" w:cs="宋体"/>
                <w:color w:val="000000" w:themeColor="text1"/>
                <w:szCs w:val="21"/>
                <w:lang w:val="zh-CN"/>
                <w14:textFill>
                  <w14:solidFill>
                    <w14:schemeClr w14:val="tx1"/>
                  </w14:solidFill>
                </w14:textFill>
              </w:rPr>
            </w:pPr>
          </w:p>
        </w:tc>
      </w:tr>
      <w:tr w14:paraId="506D6BEE">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475EB140">
            <w:pPr>
              <w:adjustRightInd w:val="0"/>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16C2AC8F">
            <w:pPr>
              <w:adjustRightInd w:val="0"/>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562A84A">
            <w:pPr>
              <w:adjustRightInd w:val="0"/>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74DEFD84">
            <w:pPr>
              <w:adjustRightInd w:val="0"/>
              <w:jc w:val="center"/>
              <w:rPr>
                <w:rFonts w:ascii="宋体" w:hAnsi="宋体" w:cs="宋体"/>
                <w:color w:val="000000" w:themeColor="text1"/>
                <w:szCs w:val="21"/>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29B09A9B">
            <w:pPr>
              <w:adjustRightInd w:val="0"/>
              <w:jc w:val="center"/>
              <w:rPr>
                <w:rFonts w:ascii="宋体" w:hAnsi="宋体" w:cs="宋体"/>
                <w:color w:val="000000" w:themeColor="text1"/>
                <w:szCs w:val="21"/>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7727E447">
            <w:pPr>
              <w:adjustRightInd w:val="0"/>
              <w:jc w:val="center"/>
              <w:rPr>
                <w:rFonts w:ascii="宋体" w:hAnsi="宋体" w:cs="宋体"/>
                <w:color w:val="000000" w:themeColor="text1"/>
                <w:szCs w:val="21"/>
                <w:lang w:val="zh-CN"/>
                <w14:textFill>
                  <w14:solidFill>
                    <w14:schemeClr w14:val="tx1"/>
                  </w14:solidFill>
                </w14:textFill>
              </w:rPr>
            </w:pPr>
          </w:p>
        </w:tc>
      </w:tr>
    </w:tbl>
    <w:p w14:paraId="10D27848">
      <w:pPr>
        <w:adjustRightInd w:val="0"/>
        <w:spacing w:line="360" w:lineRule="auto"/>
        <w:jc w:val="left"/>
        <w:rPr>
          <w:rFonts w:ascii="宋体" w:hAnsi="宋体" w:cs="宋体"/>
          <w:color w:val="000000" w:themeColor="text1"/>
          <w:szCs w:val="21"/>
          <w:lang w:val="zh-CN"/>
          <w14:textFill>
            <w14:solidFill>
              <w14:schemeClr w14:val="tx1"/>
            </w14:solidFill>
          </w14:textFill>
        </w:rPr>
      </w:pPr>
    </w:p>
    <w:p w14:paraId="755D2E6E">
      <w:pPr>
        <w:adjustRightInd w:val="0"/>
        <w:spacing w:line="360" w:lineRule="auto"/>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供应商名称：（盖章）</w:t>
      </w:r>
    </w:p>
    <w:p w14:paraId="12CB2EB8">
      <w:pPr>
        <w:widowControl/>
        <w:spacing w:line="360" w:lineRule="auto"/>
        <w:jc w:val="left"/>
        <w:rPr>
          <w:rFonts w:ascii="宋体" w:hAnsi="宋体" w:cs="宋体"/>
          <w:color w:val="000000" w:themeColor="text1"/>
          <w:szCs w:val="21"/>
          <w:lang w:val="zh-CN"/>
          <w14:textFill>
            <w14:solidFill>
              <w14:schemeClr w14:val="tx1"/>
            </w14:solidFill>
          </w14:textFill>
        </w:rPr>
      </w:pPr>
    </w:p>
    <w:p w14:paraId="17CC0CF5">
      <w:pPr>
        <w:pStyle w:val="17"/>
        <w:widowControl/>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说明：</w:t>
      </w:r>
    </w:p>
    <w:p w14:paraId="0A19CAC1">
      <w:pPr>
        <w:pStyle w:val="17"/>
        <w:widowControl/>
        <w:numPr>
          <w:ilvl w:val="0"/>
          <w:numId w:val="65"/>
        </w:numPr>
        <w:spacing w:line="360" w:lineRule="auto"/>
        <w:ind w:firstLineChars="0"/>
        <w:rPr>
          <w:color w:val="000000" w:themeColor="text1"/>
          <w14:textFill>
            <w14:solidFill>
              <w14:schemeClr w14:val="tx1"/>
            </w14:solidFill>
          </w14:textFill>
        </w:rPr>
      </w:pPr>
      <w:r>
        <w:rPr>
          <w:rFonts w:asciiTheme="majorEastAsia" w:hAnsiTheme="majorEastAsia" w:eastAsiaTheme="majorEastAsia"/>
          <w:b/>
        </w:rPr>
        <w:t>按照</w:t>
      </w:r>
      <w:r>
        <w:rPr>
          <w:rFonts w:hint="eastAsia" w:asciiTheme="majorEastAsia" w:hAnsiTheme="majorEastAsia" w:eastAsiaTheme="majorEastAsia"/>
          <w:b/>
        </w:rPr>
        <w:t>“第四章 项目需求”中的“主要技术参数要求”</w:t>
      </w:r>
      <w:r>
        <w:rPr>
          <w:rFonts w:asciiTheme="majorEastAsia" w:hAnsiTheme="majorEastAsia" w:eastAsiaTheme="majorEastAsia"/>
          <w:b/>
        </w:rPr>
        <w:t>详细填列</w:t>
      </w:r>
      <w:r>
        <w:rPr>
          <w:rFonts w:hint="eastAsia" w:asciiTheme="majorEastAsia" w:hAnsiTheme="majorEastAsia" w:eastAsiaTheme="majorEastAsia"/>
          <w:b/>
        </w:rPr>
        <w:t>，</w:t>
      </w:r>
      <w:r>
        <w:rPr>
          <w:color w:val="000000" w:themeColor="text1"/>
          <w14:textFill>
            <w14:solidFill>
              <w14:schemeClr w14:val="tx1"/>
            </w14:solidFill>
          </w14:textFill>
        </w:rPr>
        <w:t>如果行数不够，请自行增加；</w:t>
      </w:r>
    </w:p>
    <w:p w14:paraId="1A8406FD">
      <w:pPr>
        <w:pStyle w:val="17"/>
        <w:widowControl/>
        <w:numPr>
          <w:ilvl w:val="0"/>
          <w:numId w:val="6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无偏离指供应商的响应等于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文件要求，正偏离指供应商的响应高于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文件要求，负偏离指供应商的响应低于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w:t>
      </w:r>
    </w:p>
    <w:p w14:paraId="560CC637">
      <w:pPr>
        <w:pStyle w:val="17"/>
        <w:widowControl/>
        <w:numPr>
          <w:ilvl w:val="0"/>
          <w:numId w:val="6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w:t>
      </w:r>
      <w:r>
        <w:rPr>
          <w:rFonts w:hint="eastAsia"/>
          <w:color w:val="000000" w:themeColor="text1"/>
          <w14:textFill>
            <w14:solidFill>
              <w14:schemeClr w14:val="tx1"/>
            </w14:solidFill>
          </w14:textFill>
        </w:rPr>
        <w:t>情况</w:t>
      </w:r>
      <w:r>
        <w:rPr>
          <w:color w:val="000000" w:themeColor="text1"/>
          <w14:textFill>
            <w14:solidFill>
              <w14:schemeClr w14:val="tx1"/>
            </w14:solidFill>
          </w14:textFill>
        </w:rPr>
        <w:t>作为响应文件重要的组成部分，不应通过简单拷贝或简单标注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符合”“满足”。</w:t>
      </w:r>
    </w:p>
    <w:p w14:paraId="431D0F8F">
      <w:pP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4CEACA26">
      <w:pPr>
        <w:pStyle w:val="17"/>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六</w:t>
      </w:r>
      <w:r>
        <w:rPr>
          <w:b/>
          <w:color w:val="000000" w:themeColor="text1"/>
          <w14:textFill>
            <w14:solidFill>
              <w14:schemeClr w14:val="tx1"/>
            </w14:solidFill>
          </w14:textFill>
        </w:rPr>
        <w:t>、商务条款偏离表</w:t>
      </w:r>
    </w:p>
    <w:p w14:paraId="6659EE8A">
      <w:pPr>
        <w:pStyle w:val="268"/>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5A2A8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23212310">
            <w:pPr>
              <w:adjustRightInd w:val="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项目名称：</w:t>
            </w:r>
          </w:p>
        </w:tc>
        <w:tc>
          <w:tcPr>
            <w:tcW w:w="1462" w:type="pct"/>
            <w:gridSpan w:val="2"/>
            <w:tcBorders>
              <w:top w:val="nil"/>
              <w:left w:val="nil"/>
              <w:right w:val="nil"/>
            </w:tcBorders>
            <w:vAlign w:val="center"/>
          </w:tcPr>
          <w:p w14:paraId="494AEB1D">
            <w:pPr>
              <w:adjustRightInd w:val="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项目编号：</w:t>
            </w:r>
          </w:p>
        </w:tc>
      </w:tr>
      <w:tr w14:paraId="588F3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D06CDD6">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序号</w:t>
            </w:r>
          </w:p>
        </w:tc>
        <w:tc>
          <w:tcPr>
            <w:tcW w:w="974" w:type="pct"/>
            <w:vAlign w:val="center"/>
          </w:tcPr>
          <w:p w14:paraId="791345A2">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文件条目号</w:t>
            </w:r>
          </w:p>
        </w:tc>
        <w:tc>
          <w:tcPr>
            <w:tcW w:w="1515" w:type="pct"/>
            <w:vAlign w:val="center"/>
          </w:tcPr>
          <w:p w14:paraId="73634F36">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文件要求的商务条款</w:t>
            </w:r>
          </w:p>
        </w:tc>
        <w:tc>
          <w:tcPr>
            <w:tcW w:w="1364" w:type="pct"/>
            <w:gridSpan w:val="2"/>
            <w:vAlign w:val="center"/>
          </w:tcPr>
          <w:p w14:paraId="43E2B218">
            <w:pPr>
              <w:adjustRightIn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响应</w:t>
            </w:r>
            <w:r>
              <w:rPr>
                <w:rFonts w:hint="eastAsia" w:ascii="宋体" w:hAnsi="宋体" w:cs="宋体"/>
                <w:b/>
                <w:color w:val="000000" w:themeColor="text1"/>
                <w:szCs w:val="21"/>
                <w14:textFill>
                  <w14:solidFill>
                    <w14:schemeClr w14:val="tx1"/>
                  </w14:solidFill>
                </w14:textFill>
              </w:rPr>
              <w:t>情况</w:t>
            </w:r>
          </w:p>
        </w:tc>
        <w:tc>
          <w:tcPr>
            <w:tcW w:w="709" w:type="pct"/>
            <w:vAlign w:val="center"/>
          </w:tcPr>
          <w:p w14:paraId="6AD716B6">
            <w:pPr>
              <w:adjustRightInd w:val="0"/>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偏离</w:t>
            </w:r>
          </w:p>
        </w:tc>
      </w:tr>
      <w:tr w14:paraId="4F1E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90C48AF">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374D1294">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22CE89AA">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688406B0">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2C01762A">
            <w:pPr>
              <w:adjustRightInd w:val="0"/>
              <w:jc w:val="center"/>
              <w:rPr>
                <w:rFonts w:ascii="宋体" w:hAnsi="宋体" w:cs="宋体"/>
                <w:color w:val="000000" w:themeColor="text1"/>
                <w:szCs w:val="21"/>
                <w:lang w:val="zh-CN"/>
                <w14:textFill>
                  <w14:solidFill>
                    <w14:schemeClr w14:val="tx1"/>
                  </w14:solidFill>
                </w14:textFill>
              </w:rPr>
            </w:pPr>
          </w:p>
        </w:tc>
      </w:tr>
      <w:tr w14:paraId="7355C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1D55E20">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2188E16C">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1B3CA003">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7FD35A45">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6A3AF855">
            <w:pPr>
              <w:adjustRightInd w:val="0"/>
              <w:jc w:val="center"/>
              <w:rPr>
                <w:rFonts w:ascii="宋体" w:hAnsi="宋体" w:cs="宋体"/>
                <w:color w:val="000000" w:themeColor="text1"/>
                <w:szCs w:val="21"/>
                <w:lang w:val="zh-CN"/>
                <w14:textFill>
                  <w14:solidFill>
                    <w14:schemeClr w14:val="tx1"/>
                  </w14:solidFill>
                </w14:textFill>
              </w:rPr>
            </w:pPr>
          </w:p>
        </w:tc>
      </w:tr>
      <w:tr w14:paraId="0BEF2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D5B29A2">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6D58EE03">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07AFD1D8">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7F11FC8B">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70125FB9">
            <w:pPr>
              <w:adjustRightInd w:val="0"/>
              <w:jc w:val="center"/>
              <w:rPr>
                <w:rFonts w:ascii="宋体" w:hAnsi="宋体" w:cs="宋体"/>
                <w:color w:val="000000" w:themeColor="text1"/>
                <w:szCs w:val="21"/>
                <w:lang w:val="zh-CN"/>
                <w14:textFill>
                  <w14:solidFill>
                    <w14:schemeClr w14:val="tx1"/>
                  </w14:solidFill>
                </w14:textFill>
              </w:rPr>
            </w:pPr>
          </w:p>
        </w:tc>
      </w:tr>
      <w:tr w14:paraId="3125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0A5FFA7">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2B4D981D">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5AD1607B">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2D6F479F">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211B58AF">
            <w:pPr>
              <w:adjustRightInd w:val="0"/>
              <w:jc w:val="center"/>
              <w:rPr>
                <w:rFonts w:ascii="宋体" w:hAnsi="宋体" w:cs="宋体"/>
                <w:color w:val="000000" w:themeColor="text1"/>
                <w:szCs w:val="21"/>
                <w:lang w:val="zh-CN"/>
                <w14:textFill>
                  <w14:solidFill>
                    <w14:schemeClr w14:val="tx1"/>
                  </w14:solidFill>
                </w14:textFill>
              </w:rPr>
            </w:pPr>
          </w:p>
        </w:tc>
      </w:tr>
      <w:tr w14:paraId="1A52D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829BA5E">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13DF703C">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7DE1573B">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48DC5D6E">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48F92D7C">
            <w:pPr>
              <w:adjustRightInd w:val="0"/>
              <w:jc w:val="center"/>
              <w:rPr>
                <w:rFonts w:ascii="宋体" w:hAnsi="宋体" w:cs="宋体"/>
                <w:color w:val="000000" w:themeColor="text1"/>
                <w:szCs w:val="21"/>
                <w:lang w:val="zh-CN"/>
                <w14:textFill>
                  <w14:solidFill>
                    <w14:schemeClr w14:val="tx1"/>
                  </w14:solidFill>
                </w14:textFill>
              </w:rPr>
            </w:pPr>
          </w:p>
        </w:tc>
      </w:tr>
      <w:tr w14:paraId="6A671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7072766">
            <w:pPr>
              <w:adjustRightInd w:val="0"/>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687F6558">
            <w:pPr>
              <w:adjustRightInd w:val="0"/>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7A5FD362">
            <w:pPr>
              <w:adjustRightInd w:val="0"/>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493D3E74">
            <w:pPr>
              <w:adjustRightInd w:val="0"/>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4D91B8B0">
            <w:pPr>
              <w:adjustRightInd w:val="0"/>
              <w:jc w:val="center"/>
              <w:rPr>
                <w:rFonts w:ascii="宋体" w:hAnsi="宋体" w:cs="宋体"/>
                <w:color w:val="000000" w:themeColor="text1"/>
                <w:szCs w:val="21"/>
                <w:lang w:val="zh-CN"/>
                <w14:textFill>
                  <w14:solidFill>
                    <w14:schemeClr w14:val="tx1"/>
                  </w14:solidFill>
                </w14:textFill>
              </w:rPr>
            </w:pPr>
          </w:p>
        </w:tc>
      </w:tr>
      <w:tr w14:paraId="06A9C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0A5DF82">
            <w:pPr>
              <w:jc w:val="center"/>
              <w:rPr>
                <w:rFonts w:ascii="宋体" w:hAnsi="宋体" w:cs="Arial"/>
                <w:color w:val="000000" w:themeColor="text1"/>
                <w:szCs w:val="21"/>
                <w14:textFill>
                  <w14:solidFill>
                    <w14:schemeClr w14:val="tx1"/>
                  </w14:solidFill>
                </w14:textFill>
              </w:rPr>
            </w:pPr>
          </w:p>
        </w:tc>
        <w:tc>
          <w:tcPr>
            <w:tcW w:w="974" w:type="pct"/>
            <w:vAlign w:val="center"/>
          </w:tcPr>
          <w:p w14:paraId="467C445C">
            <w:pPr>
              <w:jc w:val="center"/>
              <w:rPr>
                <w:rFonts w:ascii="宋体" w:hAnsi="宋体" w:cs="Arial"/>
                <w:color w:val="000000" w:themeColor="text1"/>
                <w:szCs w:val="21"/>
                <w14:textFill>
                  <w14:solidFill>
                    <w14:schemeClr w14:val="tx1"/>
                  </w14:solidFill>
                </w14:textFill>
              </w:rPr>
            </w:pPr>
          </w:p>
        </w:tc>
        <w:tc>
          <w:tcPr>
            <w:tcW w:w="1515" w:type="pct"/>
            <w:vAlign w:val="center"/>
          </w:tcPr>
          <w:p w14:paraId="285757DD">
            <w:pPr>
              <w:jc w:val="center"/>
              <w:rPr>
                <w:rFonts w:ascii="宋体" w:hAnsi="宋体" w:cs="Arial"/>
                <w:color w:val="000000" w:themeColor="text1"/>
                <w:szCs w:val="21"/>
                <w14:textFill>
                  <w14:solidFill>
                    <w14:schemeClr w14:val="tx1"/>
                  </w14:solidFill>
                </w14:textFill>
              </w:rPr>
            </w:pPr>
          </w:p>
        </w:tc>
        <w:tc>
          <w:tcPr>
            <w:tcW w:w="1364" w:type="pct"/>
            <w:gridSpan w:val="2"/>
            <w:vAlign w:val="center"/>
          </w:tcPr>
          <w:p w14:paraId="39D275FA">
            <w:pPr>
              <w:jc w:val="center"/>
              <w:rPr>
                <w:rFonts w:ascii="宋体" w:hAnsi="宋体" w:cs="Arial"/>
                <w:color w:val="000000" w:themeColor="text1"/>
                <w:szCs w:val="21"/>
                <w14:textFill>
                  <w14:solidFill>
                    <w14:schemeClr w14:val="tx1"/>
                  </w14:solidFill>
                </w14:textFill>
              </w:rPr>
            </w:pPr>
          </w:p>
        </w:tc>
        <w:tc>
          <w:tcPr>
            <w:tcW w:w="709" w:type="pct"/>
            <w:vAlign w:val="center"/>
          </w:tcPr>
          <w:p w14:paraId="5A04D69A">
            <w:pPr>
              <w:jc w:val="center"/>
              <w:rPr>
                <w:rFonts w:ascii="宋体" w:hAnsi="宋体" w:cs="Arial"/>
                <w:color w:val="000000" w:themeColor="text1"/>
                <w:szCs w:val="21"/>
                <w14:textFill>
                  <w14:solidFill>
                    <w14:schemeClr w14:val="tx1"/>
                  </w14:solidFill>
                </w14:textFill>
              </w:rPr>
            </w:pPr>
          </w:p>
        </w:tc>
      </w:tr>
    </w:tbl>
    <w:p w14:paraId="3AA53C5A">
      <w:pPr>
        <w:adjustRightInd w:val="0"/>
        <w:spacing w:line="360" w:lineRule="auto"/>
        <w:jc w:val="left"/>
        <w:rPr>
          <w:rFonts w:ascii="宋体" w:hAnsi="宋体" w:cs="宋体"/>
          <w:color w:val="000000" w:themeColor="text1"/>
          <w:szCs w:val="21"/>
          <w:lang w:val="zh-CN"/>
          <w14:textFill>
            <w14:solidFill>
              <w14:schemeClr w14:val="tx1"/>
            </w14:solidFill>
          </w14:textFill>
        </w:rPr>
      </w:pPr>
    </w:p>
    <w:p w14:paraId="70090948">
      <w:pPr>
        <w:adjustRightInd w:val="0"/>
        <w:spacing w:line="360" w:lineRule="auto"/>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供应商名称：（盖章）</w:t>
      </w:r>
    </w:p>
    <w:p w14:paraId="25B5FF07">
      <w:pPr>
        <w:widowControl/>
        <w:spacing w:line="360" w:lineRule="auto"/>
        <w:jc w:val="left"/>
        <w:rPr>
          <w:rFonts w:ascii="宋体" w:hAnsi="宋体" w:cs="宋体"/>
          <w:color w:val="000000" w:themeColor="text1"/>
          <w:szCs w:val="21"/>
          <w:lang w:val="zh-CN"/>
          <w14:textFill>
            <w14:solidFill>
              <w14:schemeClr w14:val="tx1"/>
            </w14:solidFill>
          </w14:textFill>
        </w:rPr>
      </w:pPr>
    </w:p>
    <w:p w14:paraId="30928D76">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6B76E6FB">
      <w:pPr>
        <w:pStyle w:val="17"/>
        <w:widowControl/>
        <w:numPr>
          <w:ilvl w:val="0"/>
          <w:numId w:val="6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5CF8B707">
      <w:pPr>
        <w:pStyle w:val="17"/>
        <w:widowControl/>
        <w:numPr>
          <w:ilvl w:val="0"/>
          <w:numId w:val="6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6280DEBF">
      <w:pPr>
        <w:pStyle w:val="17"/>
        <w:widowControl/>
        <w:numPr>
          <w:ilvl w:val="0"/>
          <w:numId w:val="66"/>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供应商必须仔细阅读</w:t>
      </w:r>
      <w:r>
        <w:rPr>
          <w:rFonts w:hint="eastAsia"/>
          <w:color w:val="000000" w:themeColor="text1"/>
          <w:highlight w:val="none"/>
          <w:lang w:val="en-US" w:eastAsia="zh-CN"/>
          <w14:textFill>
            <w14:solidFill>
              <w14:schemeClr w14:val="tx1"/>
            </w14:solidFill>
          </w14:textFill>
        </w:rPr>
        <w:t>采购</w:t>
      </w:r>
      <w:r>
        <w:rPr>
          <w:rFonts w:hint="eastAsia"/>
          <w:color w:val="000000" w:themeColor="text1"/>
          <w:highlight w:val="none"/>
          <w14:textFill>
            <w14:solidFill>
              <w14:schemeClr w14:val="tx1"/>
            </w14:solidFill>
          </w14:textFill>
        </w:rPr>
        <w:t>文件第四章“项目需求”以及第五章“合同主要条款及格式”中所有商务条款和相关服务要求，并对所有商务条款和服务要求的</w:t>
      </w:r>
      <w:r>
        <w:rPr>
          <w:rFonts w:hint="eastAsia"/>
          <w:color w:val="000000" w:themeColor="text1"/>
          <w:highlight w:val="none"/>
          <w:lang w:val="en-US" w:eastAsia="zh-CN"/>
          <w14:textFill>
            <w14:solidFill>
              <w14:schemeClr w14:val="tx1"/>
            </w14:solidFill>
          </w14:textFill>
        </w:rPr>
        <w:t>偏离</w:t>
      </w:r>
      <w:r>
        <w:rPr>
          <w:rFonts w:hint="eastAsia"/>
          <w:color w:val="000000" w:themeColor="text1"/>
          <w:highlight w:val="none"/>
          <w14:textFill>
            <w14:solidFill>
              <w14:schemeClr w14:val="tx1"/>
            </w14:solidFill>
          </w14:textFill>
        </w:rPr>
        <w:t>条目列入上表。</w:t>
      </w:r>
      <w:r>
        <w:rPr>
          <w:rFonts w:hint="eastAsia" w:ascii="Times New Roman" w:hAnsi="Times New Roman" w:eastAsia="宋体" w:cs="Times New Roman"/>
          <w:color w:val="000000" w:themeColor="text1"/>
          <w:highlight w:val="none"/>
          <w14:textFill>
            <w14:solidFill>
              <w14:schemeClr w14:val="tx1"/>
            </w14:solidFill>
          </w14:textFill>
        </w:rPr>
        <w:t>未在本偏离表中列出偏离</w:t>
      </w:r>
      <w:r>
        <w:rPr>
          <w:rFonts w:hint="eastAsia" w:ascii="Times New Roman" w:hAnsi="Times New Roman" w:eastAsia="宋体" w:cs="Times New Roman"/>
          <w:color w:val="000000" w:themeColor="text1"/>
          <w:highlight w:val="none"/>
          <w:lang w:val="en-US" w:eastAsia="zh-CN"/>
          <w14:textFill>
            <w14:solidFill>
              <w14:schemeClr w14:val="tx1"/>
            </w14:solidFill>
          </w14:textFill>
        </w:rPr>
        <w:t>条目</w:t>
      </w:r>
      <w:r>
        <w:rPr>
          <w:rFonts w:hint="eastAsia" w:ascii="Times New Roman" w:hAnsi="Times New Roman" w:eastAsia="宋体" w:cs="Times New Roman"/>
          <w:color w:val="000000" w:themeColor="text1"/>
          <w:highlight w:val="none"/>
          <w14:textFill>
            <w14:solidFill>
              <w14:schemeClr w14:val="tx1"/>
            </w14:solidFill>
          </w14:textFill>
        </w:rPr>
        <w:t>，将视为供应商已完全接受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采购</w:t>
      </w:r>
      <w:r>
        <w:rPr>
          <w:rFonts w:hint="eastAsia" w:ascii="Times New Roman" w:hAnsi="Times New Roman" w:eastAsia="宋体" w:cs="Times New Roman"/>
          <w:color w:val="000000" w:themeColor="text1"/>
          <w:highlight w:val="none"/>
          <w14:textFill>
            <w14:solidFill>
              <w14:schemeClr w14:val="tx1"/>
            </w14:solidFill>
          </w14:textFill>
        </w:rPr>
        <w:t>文件要求。如完全无偏离，也无其他说明，可在本表第一行填写“全部无偏离”。</w:t>
      </w:r>
    </w:p>
    <w:p w14:paraId="26439AF1">
      <w:pPr>
        <w:spacing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br w:type="page"/>
      </w:r>
    </w:p>
    <w:p w14:paraId="0A9BE978">
      <w:pPr>
        <w:pStyle w:val="17"/>
        <w:numPr>
          <w:ilvl w:val="255"/>
          <w:numId w:val="0"/>
        </w:numPr>
        <w:spacing w:line="360" w:lineRule="auto"/>
        <w:ind w:left="420"/>
        <w:outlineLvl w:val="1"/>
        <w:rPr>
          <w:rFonts w:asciiTheme="majorEastAsia" w:hAnsiTheme="majorEastAsia" w:eastAsiaTheme="majorEastAsia"/>
          <w:b/>
          <w:szCs w:val="24"/>
        </w:rPr>
      </w:pPr>
      <w:bookmarkStart w:id="17" w:name="_Toc202786551"/>
      <w:bookmarkStart w:id="18" w:name="_Toc87364929"/>
      <w:r>
        <w:rPr>
          <w:rFonts w:hint="eastAsia"/>
          <w:b/>
          <w:color w:val="000000" w:themeColor="text1"/>
          <w14:textFill>
            <w14:solidFill>
              <w14:schemeClr w14:val="tx1"/>
            </w14:solidFill>
          </w14:textFill>
        </w:rPr>
        <w:t>七、</w:t>
      </w:r>
      <w:bookmarkEnd w:id="17"/>
      <w:bookmarkEnd w:id="18"/>
      <w:r>
        <w:rPr>
          <w:b/>
          <w:color w:val="000000" w:themeColor="text1"/>
          <w14:textFill>
            <w14:solidFill>
              <w14:schemeClr w14:val="tx1"/>
            </w14:solidFill>
          </w14:textFill>
        </w:rPr>
        <w:t>评分项审查材料</w:t>
      </w:r>
    </w:p>
    <w:p w14:paraId="1A5852E0">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7.1</w:t>
      </w:r>
      <w:r>
        <w:rPr>
          <w:rFonts w:hint="eastAsia" w:cs="Times New Roman" w:asciiTheme="majorEastAsia" w:hAnsiTheme="majorEastAsia" w:eastAsiaTheme="majorEastAsia"/>
          <w:b/>
          <w:sz w:val="24"/>
          <w:szCs w:val="24"/>
        </w:rPr>
        <w:t>项目实施方案</w:t>
      </w:r>
    </w:p>
    <w:p w14:paraId="49700A48">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Cs/>
          <w:sz w:val="24"/>
          <w:szCs w:val="24"/>
        </w:rPr>
        <w:t>根据要求提供</w:t>
      </w:r>
    </w:p>
    <w:p w14:paraId="6A473AC1">
      <w:pPr>
        <w:spacing w:line="360" w:lineRule="auto"/>
        <w:jc w:val="left"/>
        <w:rPr>
          <w:rFonts w:asciiTheme="majorEastAsia" w:hAnsiTheme="majorEastAsia" w:eastAsiaTheme="majorEastAsia"/>
          <w:b/>
          <w:sz w:val="24"/>
          <w:szCs w:val="24"/>
        </w:rPr>
      </w:pPr>
    </w:p>
    <w:p w14:paraId="49A5ECB5">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7.2 产品综合评价</w:t>
      </w:r>
    </w:p>
    <w:p w14:paraId="7D76B97C">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Cs/>
          <w:sz w:val="24"/>
          <w:szCs w:val="24"/>
        </w:rPr>
        <w:t>根据要求提供</w:t>
      </w:r>
    </w:p>
    <w:p w14:paraId="4EB6D32A">
      <w:pPr>
        <w:spacing w:line="360" w:lineRule="auto"/>
        <w:jc w:val="left"/>
        <w:rPr>
          <w:rFonts w:asciiTheme="majorEastAsia" w:hAnsiTheme="majorEastAsia" w:eastAsiaTheme="majorEastAsia"/>
          <w:b/>
          <w:sz w:val="24"/>
          <w:szCs w:val="24"/>
        </w:rPr>
      </w:pPr>
    </w:p>
    <w:p w14:paraId="56CFDBAE">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7.3售后服务</w:t>
      </w:r>
    </w:p>
    <w:p w14:paraId="7F2B91DA">
      <w:pPr>
        <w:spacing w:line="360" w:lineRule="auto"/>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根据要求提供</w:t>
      </w:r>
    </w:p>
    <w:p w14:paraId="45874AC3">
      <w:pPr>
        <w:spacing w:line="360" w:lineRule="auto"/>
        <w:jc w:val="left"/>
        <w:rPr>
          <w:rFonts w:asciiTheme="majorEastAsia" w:hAnsiTheme="majorEastAsia" w:eastAsiaTheme="majorEastAsia"/>
          <w:bCs/>
          <w:sz w:val="24"/>
          <w:szCs w:val="24"/>
        </w:rPr>
      </w:pPr>
    </w:p>
    <w:p w14:paraId="724BEA56">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7.4培训方案</w:t>
      </w:r>
    </w:p>
    <w:p w14:paraId="6569DABA">
      <w:pPr>
        <w:spacing w:line="360" w:lineRule="auto"/>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根据要求提供</w:t>
      </w:r>
    </w:p>
    <w:p w14:paraId="28F90A95">
      <w:pPr>
        <w:spacing w:line="360" w:lineRule="auto"/>
        <w:jc w:val="left"/>
        <w:rPr>
          <w:rFonts w:asciiTheme="majorEastAsia" w:hAnsiTheme="majorEastAsia" w:eastAsiaTheme="majorEastAsia"/>
          <w:bCs/>
          <w:sz w:val="24"/>
          <w:szCs w:val="24"/>
        </w:rPr>
      </w:pPr>
    </w:p>
    <w:p w14:paraId="7517B704">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7.5质保期（格式自拟）</w:t>
      </w:r>
    </w:p>
    <w:p w14:paraId="29D4F9D5">
      <w:pPr>
        <w:spacing w:line="360" w:lineRule="auto"/>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提供《质保期承诺书》（格式自拟）</w:t>
      </w:r>
    </w:p>
    <w:p w14:paraId="6A813113">
      <w:pPr>
        <w:spacing w:line="360" w:lineRule="auto"/>
        <w:jc w:val="left"/>
        <w:rPr>
          <w:rFonts w:asciiTheme="majorEastAsia" w:hAnsiTheme="majorEastAsia" w:eastAsiaTheme="majorEastAsia"/>
          <w:bCs/>
          <w:sz w:val="24"/>
          <w:szCs w:val="24"/>
        </w:rPr>
      </w:pPr>
    </w:p>
    <w:p w14:paraId="794497CA">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7.6额外服务承诺</w:t>
      </w:r>
    </w:p>
    <w:p w14:paraId="5780242E">
      <w:pPr>
        <w:spacing w:line="360" w:lineRule="auto"/>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提供《额外服务承诺书》（格式自拟）</w:t>
      </w:r>
    </w:p>
    <w:p w14:paraId="69F8E607">
      <w:pPr>
        <w:spacing w:line="360" w:lineRule="auto"/>
        <w:jc w:val="left"/>
        <w:rPr>
          <w:rFonts w:asciiTheme="majorEastAsia" w:hAnsiTheme="majorEastAsia" w:eastAsiaTheme="majorEastAsia"/>
          <w:bCs/>
          <w:sz w:val="24"/>
          <w:szCs w:val="24"/>
        </w:rPr>
      </w:pPr>
    </w:p>
    <w:p w14:paraId="0C9D9B46">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w:t>
      </w:r>
      <w:r>
        <w:rPr>
          <w:rFonts w:asciiTheme="majorEastAsia" w:hAnsiTheme="majorEastAsia" w:eastAsiaTheme="majorEastAsia"/>
          <w:b/>
          <w:sz w:val="24"/>
          <w:szCs w:val="24"/>
        </w:rPr>
        <w:t>.</w:t>
      </w:r>
      <w:r>
        <w:rPr>
          <w:rFonts w:hint="eastAsia" w:asciiTheme="majorEastAsia" w:hAnsiTheme="majorEastAsia" w:eastAsiaTheme="majorEastAsia"/>
          <w:b/>
          <w:sz w:val="24"/>
          <w:szCs w:val="24"/>
        </w:rPr>
        <w:t>7业绩</w:t>
      </w:r>
    </w:p>
    <w:p w14:paraId="155A8228">
      <w:pPr>
        <w:spacing w:line="360" w:lineRule="auto"/>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根据要求提供，格式仅供参考</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4"/>
        <w:gridCol w:w="2696"/>
        <w:gridCol w:w="2696"/>
        <w:gridCol w:w="2696"/>
      </w:tblGrid>
      <w:tr w14:paraId="6BBE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4C3FF513">
            <w:pPr>
              <w:jc w:val="center"/>
              <w:rPr>
                <w:rFonts w:ascii="宋体" w:hAnsi="宋体"/>
                <w:sz w:val="24"/>
                <w:szCs w:val="24"/>
              </w:rPr>
            </w:pPr>
            <w:r>
              <w:rPr>
                <w:rFonts w:hint="eastAsia" w:ascii="宋体" w:hAnsi="宋体"/>
                <w:sz w:val="24"/>
                <w:szCs w:val="24"/>
              </w:rPr>
              <w:t>序号</w:t>
            </w:r>
          </w:p>
        </w:tc>
        <w:tc>
          <w:tcPr>
            <w:tcW w:w="1392" w:type="pct"/>
            <w:vAlign w:val="center"/>
          </w:tcPr>
          <w:p w14:paraId="4CA9AAC0">
            <w:pPr>
              <w:jc w:val="center"/>
              <w:rPr>
                <w:rFonts w:ascii="宋体" w:hAnsi="宋体"/>
                <w:sz w:val="24"/>
                <w:szCs w:val="24"/>
              </w:rPr>
            </w:pPr>
            <w:r>
              <w:rPr>
                <w:rFonts w:hint="eastAsia" w:ascii="宋体" w:hAnsi="宋体"/>
                <w:sz w:val="24"/>
                <w:szCs w:val="24"/>
              </w:rPr>
              <w:t>合同名称</w:t>
            </w:r>
          </w:p>
        </w:tc>
        <w:tc>
          <w:tcPr>
            <w:tcW w:w="1392" w:type="pct"/>
            <w:vAlign w:val="center"/>
          </w:tcPr>
          <w:p w14:paraId="24086137">
            <w:pPr>
              <w:jc w:val="center"/>
              <w:rPr>
                <w:rFonts w:ascii="宋体" w:hAnsi="宋体"/>
                <w:sz w:val="24"/>
                <w:szCs w:val="24"/>
              </w:rPr>
            </w:pPr>
            <w:r>
              <w:rPr>
                <w:rFonts w:hint="eastAsia" w:ascii="宋体" w:hAnsi="宋体"/>
                <w:sz w:val="24"/>
                <w:szCs w:val="24"/>
              </w:rPr>
              <w:t>签订日期</w:t>
            </w:r>
          </w:p>
        </w:tc>
        <w:tc>
          <w:tcPr>
            <w:tcW w:w="1392" w:type="pct"/>
            <w:vAlign w:val="center"/>
          </w:tcPr>
          <w:p w14:paraId="7086502C">
            <w:pPr>
              <w:jc w:val="center"/>
              <w:rPr>
                <w:rFonts w:ascii="宋体" w:hAnsi="宋体"/>
                <w:sz w:val="24"/>
                <w:szCs w:val="24"/>
              </w:rPr>
            </w:pPr>
            <w:r>
              <w:rPr>
                <w:rFonts w:hint="eastAsia" w:ascii="宋体" w:hAnsi="宋体"/>
                <w:sz w:val="24"/>
                <w:szCs w:val="24"/>
              </w:rPr>
              <w:t>涉及产品</w:t>
            </w:r>
          </w:p>
        </w:tc>
      </w:tr>
      <w:tr w14:paraId="6B417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098C8A8A">
            <w:pPr>
              <w:jc w:val="left"/>
              <w:rPr>
                <w:rFonts w:ascii="宋体" w:hAnsi="宋体"/>
                <w:sz w:val="24"/>
                <w:szCs w:val="24"/>
              </w:rPr>
            </w:pPr>
          </w:p>
        </w:tc>
        <w:tc>
          <w:tcPr>
            <w:tcW w:w="1392" w:type="pct"/>
            <w:vAlign w:val="center"/>
          </w:tcPr>
          <w:p w14:paraId="6FAB8734">
            <w:pPr>
              <w:jc w:val="left"/>
              <w:rPr>
                <w:rFonts w:ascii="宋体" w:hAnsi="宋体"/>
                <w:sz w:val="24"/>
                <w:szCs w:val="24"/>
              </w:rPr>
            </w:pPr>
          </w:p>
        </w:tc>
        <w:tc>
          <w:tcPr>
            <w:tcW w:w="1392" w:type="pct"/>
            <w:vAlign w:val="center"/>
          </w:tcPr>
          <w:p w14:paraId="226EC323">
            <w:pPr>
              <w:jc w:val="left"/>
              <w:rPr>
                <w:rFonts w:ascii="宋体" w:hAnsi="宋体"/>
                <w:sz w:val="24"/>
                <w:szCs w:val="24"/>
              </w:rPr>
            </w:pPr>
          </w:p>
        </w:tc>
        <w:tc>
          <w:tcPr>
            <w:tcW w:w="1392" w:type="pct"/>
            <w:vAlign w:val="center"/>
          </w:tcPr>
          <w:p w14:paraId="0E40E943">
            <w:pPr>
              <w:jc w:val="left"/>
              <w:rPr>
                <w:rFonts w:ascii="宋体" w:hAnsi="宋体"/>
                <w:sz w:val="24"/>
                <w:szCs w:val="24"/>
              </w:rPr>
            </w:pPr>
          </w:p>
        </w:tc>
      </w:tr>
      <w:tr w14:paraId="1011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4983BA8D">
            <w:pPr>
              <w:jc w:val="left"/>
              <w:rPr>
                <w:rFonts w:ascii="宋体" w:hAnsi="宋体"/>
                <w:sz w:val="24"/>
                <w:szCs w:val="24"/>
              </w:rPr>
            </w:pPr>
          </w:p>
        </w:tc>
        <w:tc>
          <w:tcPr>
            <w:tcW w:w="1392" w:type="pct"/>
            <w:vAlign w:val="center"/>
          </w:tcPr>
          <w:p w14:paraId="5D98886A">
            <w:pPr>
              <w:jc w:val="left"/>
              <w:rPr>
                <w:rFonts w:ascii="宋体" w:hAnsi="宋体"/>
                <w:sz w:val="24"/>
                <w:szCs w:val="24"/>
              </w:rPr>
            </w:pPr>
          </w:p>
        </w:tc>
        <w:tc>
          <w:tcPr>
            <w:tcW w:w="1392" w:type="pct"/>
            <w:vAlign w:val="center"/>
          </w:tcPr>
          <w:p w14:paraId="3FB63881">
            <w:pPr>
              <w:jc w:val="left"/>
              <w:rPr>
                <w:rFonts w:ascii="宋体" w:hAnsi="宋体"/>
                <w:sz w:val="24"/>
                <w:szCs w:val="24"/>
              </w:rPr>
            </w:pPr>
          </w:p>
        </w:tc>
        <w:tc>
          <w:tcPr>
            <w:tcW w:w="1392" w:type="pct"/>
            <w:vAlign w:val="center"/>
          </w:tcPr>
          <w:p w14:paraId="4CA27937">
            <w:pPr>
              <w:jc w:val="left"/>
              <w:rPr>
                <w:rFonts w:ascii="宋体" w:hAnsi="宋体"/>
                <w:sz w:val="24"/>
                <w:szCs w:val="24"/>
              </w:rPr>
            </w:pPr>
          </w:p>
        </w:tc>
      </w:tr>
    </w:tbl>
    <w:p w14:paraId="79ACBFE1">
      <w:pPr>
        <w:pStyle w:val="62"/>
        <w:rPr>
          <w:highlight w:val="yellow"/>
        </w:rPr>
      </w:pPr>
    </w:p>
    <w:p w14:paraId="734A189D">
      <w:pPr>
        <w:pStyle w:val="62"/>
      </w:pPr>
    </w:p>
    <w:p w14:paraId="7C9F453A">
      <w:pPr>
        <w:spacing w:line="360" w:lineRule="auto"/>
        <w:rPr>
          <w:rFonts w:ascii="宋体" w:hAnsi="宋体"/>
          <w:b/>
          <w:color w:val="000000" w:themeColor="text1"/>
          <w14:textFill>
            <w14:solidFill>
              <w14:schemeClr w14:val="tx1"/>
            </w14:solidFill>
          </w14:textFill>
        </w:rPr>
      </w:pPr>
    </w:p>
    <w:p w14:paraId="052FCE91">
      <w:pPr>
        <w:spacing w:line="360" w:lineRule="auto"/>
        <w:rPr>
          <w:rFonts w:ascii="宋体" w:hAnsi="宋体"/>
          <w:b/>
          <w:color w:val="000000" w:themeColor="text1"/>
          <w14:textFill>
            <w14:solidFill>
              <w14:schemeClr w14:val="tx1"/>
            </w14:solidFill>
          </w14:textFill>
        </w:rPr>
      </w:pPr>
    </w:p>
    <w:p w14:paraId="161433F8">
      <w:pPr>
        <w:widowControl/>
        <w:jc w:val="left"/>
        <w:rPr>
          <w:b/>
          <w:color w:val="000000" w:themeColor="text1"/>
          <w14:textFill>
            <w14:solidFill>
              <w14:schemeClr w14:val="tx1"/>
            </w14:solidFill>
          </w14:textFill>
        </w:rPr>
      </w:pPr>
      <w:r>
        <w:rPr>
          <w:b/>
          <w:color w:val="000000" w:themeColor="text1"/>
          <w14:textFill>
            <w14:solidFill>
              <w14:schemeClr w14:val="tx1"/>
            </w14:solidFill>
          </w14:textFill>
        </w:rPr>
        <w:br w:type="page"/>
      </w:r>
    </w:p>
    <w:p w14:paraId="201A79C7">
      <w:pPr>
        <w:pStyle w:val="17"/>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八</w:t>
      </w:r>
      <w:r>
        <w:rPr>
          <w:b/>
          <w:color w:val="000000" w:themeColor="text1"/>
          <w14:textFill>
            <w14:solidFill>
              <w14:schemeClr w14:val="tx1"/>
            </w14:solidFill>
          </w14:textFill>
        </w:rPr>
        <w:t>、响应需要的其他证明文件及材料</w:t>
      </w:r>
    </w:p>
    <w:p w14:paraId="32BE821D">
      <w:pPr>
        <w:spacing w:line="360" w:lineRule="auto"/>
        <w:rPr>
          <w:rFonts w:ascii="宋体" w:hAnsi="宋体"/>
          <w:b/>
          <w:color w:val="000000" w:themeColor="text1"/>
          <w14:textFill>
            <w14:solidFill>
              <w14:schemeClr w14:val="tx1"/>
            </w14:solidFill>
          </w14:textFill>
        </w:rPr>
      </w:pPr>
    </w:p>
    <w:p w14:paraId="51925C90">
      <w:pPr>
        <w:spacing w:line="360" w:lineRule="auto"/>
        <w:ind w:firstLine="480" w:firstLineChars="200"/>
        <w:jc w:val="left"/>
        <w:rPr>
          <w:rFonts w:ascii="宋体" w:hAnsi="宋体"/>
          <w:sz w:val="24"/>
          <w:szCs w:val="24"/>
        </w:rPr>
      </w:pPr>
    </w:p>
    <w:p w14:paraId="76F5EBD5">
      <w:pPr>
        <w:spacing w:line="360" w:lineRule="auto"/>
        <w:ind w:firstLine="480" w:firstLineChars="200"/>
        <w:jc w:val="left"/>
        <w:rPr>
          <w:rFonts w:ascii="宋体" w:hAnsi="宋体"/>
          <w:sz w:val="24"/>
          <w:szCs w:val="24"/>
        </w:rPr>
      </w:pPr>
      <w:r>
        <w:rPr>
          <w:rFonts w:hint="eastAsia" w:ascii="宋体" w:hAnsi="宋体"/>
          <w:sz w:val="24"/>
          <w:szCs w:val="24"/>
        </w:rPr>
        <w:t>响应需要的其他证明文件及材料（若有）</w:t>
      </w:r>
    </w:p>
    <w:p w14:paraId="53653D51">
      <w:pPr>
        <w:pStyle w:val="265"/>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r>
      <w:r>
        <w:rPr>
          <w:color w:val="000000" w:themeColor="text1"/>
          <w14:textFill>
            <w14:solidFill>
              <w14:schemeClr w14:val="tx1"/>
            </w14:solidFill>
          </w14:textFill>
        </w:rPr>
        <w:t>附件一、无重大违法记录声明格式</w:t>
      </w:r>
    </w:p>
    <w:p w14:paraId="6DEE3ED7">
      <w:pPr>
        <w:pStyle w:val="17"/>
        <w:spacing w:line="360" w:lineRule="auto"/>
        <w:ind w:firstLine="482"/>
        <w:jc w:val="center"/>
        <w:rPr>
          <w:b/>
          <w:bCs/>
          <w:color w:val="000000" w:themeColor="text1"/>
          <w14:textFill>
            <w14:solidFill>
              <w14:schemeClr w14:val="tx1"/>
            </w14:solidFill>
          </w14:textFill>
        </w:rPr>
      </w:pPr>
    </w:p>
    <w:p w14:paraId="67EDA5F4">
      <w:pPr>
        <w:pStyle w:val="17"/>
        <w:spacing w:line="360" w:lineRule="auto"/>
        <w:ind w:firstLine="482"/>
        <w:jc w:val="center"/>
        <w:rPr>
          <w:b/>
          <w:bCs/>
          <w:color w:val="000000" w:themeColor="text1"/>
          <w14:textFill>
            <w14:solidFill>
              <w14:schemeClr w14:val="tx1"/>
            </w14:solidFill>
          </w14:textFill>
        </w:rPr>
      </w:pPr>
      <w:r>
        <w:rPr>
          <w:b/>
          <w:bCs/>
          <w:color w:val="000000" w:themeColor="text1"/>
          <w14:textFill>
            <w14:solidFill>
              <w14:schemeClr w14:val="tx1"/>
            </w14:solidFill>
          </w14:textFill>
        </w:rPr>
        <w:t>无重大违法记录声明</w:t>
      </w:r>
    </w:p>
    <w:p w14:paraId="2304788E">
      <w:pPr>
        <w:spacing w:line="360" w:lineRule="auto"/>
        <w:rPr>
          <w:rFonts w:ascii="宋体" w:hAnsi="宋体"/>
          <w:color w:val="000000" w:themeColor="text1"/>
          <w14:textFill>
            <w14:solidFill>
              <w14:schemeClr w14:val="tx1"/>
            </w14:solidFill>
          </w14:textFill>
        </w:rPr>
      </w:pPr>
    </w:p>
    <w:p w14:paraId="7D919D2C">
      <w:pPr>
        <w:pStyle w:val="17"/>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5647AD06">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我单位（供应商名称）郑重声明：</w:t>
      </w:r>
    </w:p>
    <w:p w14:paraId="16C5ABC1">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参加采购活动前3年内在经营活动中</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没有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（在下划线上如实填写：有或没有）重大违法记录。</w:t>
      </w:r>
    </w:p>
    <w:p w14:paraId="385AC628">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（说明：所称重大违法记录，是指供应商因违法经营受到刑事处罚或者责令停产停业、吊销许可证或者执照、较大数额罚款等行政处罚。）</w:t>
      </w:r>
    </w:p>
    <w:p w14:paraId="0D70CB78">
      <w:pPr>
        <w:spacing w:line="360" w:lineRule="auto"/>
        <w:rPr>
          <w:rFonts w:ascii="宋体" w:hAnsi="宋体" w:cs="宋体"/>
          <w:color w:val="000000" w:themeColor="text1"/>
          <w:sz w:val="24"/>
          <w:szCs w:val="24"/>
          <w14:textFill>
            <w14:solidFill>
              <w14:schemeClr w14:val="tx1"/>
            </w14:solidFill>
          </w14:textFill>
        </w:rPr>
      </w:pPr>
    </w:p>
    <w:p w14:paraId="3B3A7364">
      <w:pPr>
        <w:spacing w:line="360" w:lineRule="auto"/>
        <w:rPr>
          <w:rFonts w:ascii="宋体" w:hAnsi="宋体" w:cs="宋体"/>
          <w:color w:val="000000" w:themeColor="text1"/>
          <w:sz w:val="24"/>
          <w:szCs w:val="24"/>
          <w14:textFill>
            <w14:solidFill>
              <w14:schemeClr w14:val="tx1"/>
            </w14:solidFill>
          </w14:textFill>
        </w:rPr>
      </w:pPr>
    </w:p>
    <w:p w14:paraId="4C699107">
      <w:pPr>
        <w:spacing w:line="360" w:lineRule="auto"/>
        <w:ind w:firstLine="6000" w:firstLineChars="25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声明人（公章）：</w:t>
      </w:r>
    </w:p>
    <w:p w14:paraId="08EDA13F">
      <w:pPr>
        <w:spacing w:line="360" w:lineRule="auto"/>
        <w:ind w:firstLine="6000" w:firstLineChars="25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日期：年月日</w:t>
      </w:r>
    </w:p>
    <w:p w14:paraId="1F4FB05A">
      <w:pPr>
        <w:spacing w:line="360" w:lineRule="auto"/>
        <w:rPr>
          <w:color w:val="000000" w:themeColor="text1"/>
          <w14:textFill>
            <w14:solidFill>
              <w14:schemeClr w14:val="tx1"/>
            </w14:solidFill>
          </w14:textFill>
        </w:rPr>
      </w:pPr>
    </w:p>
    <w:p w14:paraId="4F2D2497">
      <w:pPr>
        <w:spacing w:line="360" w:lineRule="auto"/>
        <w:rPr>
          <w:rFonts w:ascii="宋体" w:hAnsi="宋体"/>
          <w:b/>
          <w:color w:val="000000" w:themeColor="text1"/>
          <w14:textFill>
            <w14:solidFill>
              <w14:schemeClr w14:val="tx1"/>
            </w14:solidFill>
          </w14:textFill>
        </w:rPr>
      </w:pPr>
    </w:p>
    <w:p w14:paraId="11E1A207">
      <w:pPr>
        <w:pStyle w:val="265"/>
        <w:rPr>
          <w:color w:val="000000" w:themeColor="text1"/>
          <w14:textFill>
            <w14:solidFill>
              <w14:schemeClr w14:val="tx1"/>
            </w14:solidFill>
          </w14:textFill>
        </w:rPr>
      </w:pPr>
      <w:r>
        <w:rPr>
          <w:color w:val="000000" w:themeColor="text1"/>
          <w14:textFill>
            <w14:solidFill>
              <w14:schemeClr w14:val="tx1"/>
            </w14:solidFill>
          </w14:textFill>
        </w:rPr>
        <w:t>附件二、具备履行合同所必需的设备和专业技术能力的声明格式或证明材料</w:t>
      </w:r>
    </w:p>
    <w:p w14:paraId="1811B2F9">
      <w:pPr>
        <w:spacing w:line="360" w:lineRule="auto"/>
        <w:jc w:val="center"/>
        <w:rPr>
          <w:rFonts w:ascii="Times New Roman" w:hAnsi="Times New Roman"/>
          <w:b/>
          <w:bCs/>
          <w:color w:val="000000" w:themeColor="text1"/>
          <w:sz w:val="24"/>
          <w14:textFill>
            <w14:solidFill>
              <w14:schemeClr w14:val="tx1"/>
            </w14:solidFill>
          </w14:textFill>
        </w:rPr>
      </w:pPr>
      <w:r>
        <w:rPr>
          <w:rFonts w:hint="eastAsia" w:ascii="Times New Roman" w:hAnsi="Times New Roman"/>
          <w:b/>
          <w:bCs/>
          <w:color w:val="000000" w:themeColor="text1"/>
          <w:sz w:val="24"/>
          <w14:textFill>
            <w14:solidFill>
              <w14:schemeClr w14:val="tx1"/>
            </w14:solidFill>
          </w14:textFill>
        </w:rPr>
        <w:t>具备履行合同所必需的设备和专业技术能力的声明</w:t>
      </w:r>
    </w:p>
    <w:p w14:paraId="7A0BB86B">
      <w:pPr>
        <w:pStyle w:val="17"/>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2EAEE964">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073C795F">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主要设备有：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。（若有）</w:t>
      </w:r>
    </w:p>
    <w:p w14:paraId="3608F566">
      <w:pPr>
        <w:pStyle w:val="17"/>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主要专业技术能力有：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。（若有）</w:t>
      </w:r>
    </w:p>
    <w:p w14:paraId="10BB1343">
      <w:pPr>
        <w:spacing w:line="360" w:lineRule="auto"/>
        <w:rPr>
          <w:rFonts w:ascii="宋体" w:hAnsi="宋体" w:cs="宋体"/>
          <w:color w:val="000000" w:themeColor="text1"/>
          <w:sz w:val="24"/>
          <w14:textFill>
            <w14:solidFill>
              <w14:schemeClr w14:val="tx1"/>
            </w14:solidFill>
          </w14:textFill>
        </w:rPr>
      </w:pPr>
    </w:p>
    <w:p w14:paraId="73DEB692">
      <w:pPr>
        <w:spacing w:line="360" w:lineRule="auto"/>
        <w:rPr>
          <w:rFonts w:ascii="宋体" w:hAnsi="宋体" w:cs="宋体"/>
          <w:color w:val="000000" w:themeColor="text1"/>
          <w:sz w:val="24"/>
          <w14:textFill>
            <w14:solidFill>
              <w14:schemeClr w14:val="tx1"/>
            </w14:solidFill>
          </w14:textFill>
        </w:rPr>
      </w:pPr>
    </w:p>
    <w:p w14:paraId="420EF8F3">
      <w:pPr>
        <w:spacing w:line="360" w:lineRule="auto"/>
        <w:ind w:firstLine="6000" w:firstLineChars="25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声明人（公章）：</w:t>
      </w:r>
    </w:p>
    <w:p w14:paraId="53714A22">
      <w:pPr>
        <w:spacing w:line="360" w:lineRule="auto"/>
        <w:ind w:firstLine="6000" w:firstLineChars="25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日期：     年    月    日</w:t>
      </w:r>
    </w:p>
    <w:p w14:paraId="3C35DB9C">
      <w:pPr>
        <w:pStyle w:val="265"/>
        <w:rPr>
          <w:color w:val="000000" w:themeColor="text1"/>
          <w14:textFill>
            <w14:solidFill>
              <w14:schemeClr w14:val="tx1"/>
            </w14:solidFill>
          </w14:textFill>
        </w:rPr>
      </w:pPr>
      <w:r>
        <w:rPr>
          <w:rFonts w:hint="eastAsia"/>
          <w:color w:val="000000" w:themeColor="text1"/>
          <w14:textFill>
            <w14:solidFill>
              <w14:schemeClr w14:val="tx1"/>
            </w14:solidFill>
          </w14:textFill>
        </w:rPr>
        <w:t>附件三、承诺书</w:t>
      </w:r>
    </w:p>
    <w:p w14:paraId="7936C0AB">
      <w:pPr>
        <w:spacing w:line="360" w:lineRule="auto"/>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致：（采购人）</w:t>
      </w:r>
    </w:p>
    <w:p w14:paraId="448A4786">
      <w:pPr>
        <w:adjustRightInd w:val="0"/>
        <w:spacing w:line="360" w:lineRule="auto"/>
        <w:ind w:firstLine="480" w:firstLineChars="2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我单位（供应商名称）</w:t>
      </w:r>
      <w:r>
        <w:rPr>
          <w:rFonts w:hint="eastAsia" w:ascii="Times New Roman" w:hAnsi="Times New Roman"/>
          <w:color w:val="000000" w:themeColor="text1"/>
          <w:sz w:val="24"/>
          <w:u w:val="single"/>
          <w14:textFill>
            <w14:solidFill>
              <w14:schemeClr w14:val="tx1"/>
            </w14:solidFill>
          </w14:textFill>
        </w:rPr>
        <w:t xml:space="preserve">                </w:t>
      </w:r>
      <w:r>
        <w:rPr>
          <w:rFonts w:hint="eastAsia" w:ascii="Times New Roman" w:hAnsi="Times New Roman"/>
          <w:color w:val="000000" w:themeColor="text1"/>
          <w:sz w:val="24"/>
          <w14:textFill>
            <w14:solidFill>
              <w14:schemeClr w14:val="tx1"/>
            </w14:solidFill>
          </w14:textFill>
        </w:rPr>
        <w:t>承诺：</w:t>
      </w:r>
    </w:p>
    <w:p w14:paraId="07E6ACA3">
      <w:pPr>
        <w:adjustRightInd w:val="0"/>
        <w:spacing w:line="360" w:lineRule="auto"/>
        <w:ind w:firstLine="480" w:firstLineChars="200"/>
        <w:rPr>
          <w:rFonts w:ascii="Times New Roman" w:hAnsi="Times New Roman"/>
          <w:color w:val="000000" w:themeColor="text1"/>
          <w:sz w:val="24"/>
          <w14:textFill>
            <w14:solidFill>
              <w14:schemeClr w14:val="tx1"/>
            </w14:solidFill>
          </w14:textFill>
        </w:rPr>
      </w:pPr>
    </w:p>
    <w:p w14:paraId="37798B3C">
      <w:pPr>
        <w:adjustRightInd w:val="0"/>
        <w:spacing w:line="360" w:lineRule="auto"/>
        <w:ind w:firstLine="6480" w:firstLineChars="27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承诺人</w:t>
      </w:r>
      <w:r>
        <w:rPr>
          <w:rFonts w:ascii="Times New Roman" w:hAnsi="Times New Roman"/>
          <w:color w:val="000000" w:themeColor="text1"/>
          <w:sz w:val="24"/>
          <w14:textFill>
            <w14:solidFill>
              <w14:schemeClr w14:val="tx1"/>
            </w14:solidFill>
          </w14:textFill>
        </w:rPr>
        <w:t>（公章）：</w:t>
      </w:r>
    </w:p>
    <w:p w14:paraId="4CDF421B">
      <w:pPr>
        <w:adjustRightInd w:val="0"/>
        <w:spacing w:line="360" w:lineRule="auto"/>
        <w:ind w:firstLine="6480" w:firstLineChars="2700"/>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t>日期：     年    月    日</w:t>
      </w:r>
    </w:p>
    <w:p w14:paraId="2BF7E053">
      <w:pPr>
        <w:spacing w:line="360" w:lineRule="auto"/>
      </w:pPr>
    </w:p>
    <w:sectPr>
      <w:footerReference r:id="rId4" w:type="default"/>
      <w:pgSz w:w="11906" w:h="16838"/>
      <w:pgMar w:top="1134" w:right="1134" w:bottom="1134" w:left="1304" w:header="567"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61412">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3BB536">
                          <w:pPr>
                            <w:pStyle w:val="2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33BB536">
                    <w:pPr>
                      <w:pStyle w:val="2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D4902">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4">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9">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0">
    <w:nsid w:val="BDE0B52E"/>
    <w:multiLevelType w:val="singleLevel"/>
    <w:tmpl w:val="BDE0B52E"/>
    <w:lvl w:ilvl="0" w:tentative="0">
      <w:start w:val="1"/>
      <w:numFmt w:val="decimal"/>
      <w:suff w:val="nothing"/>
      <w:lvlText w:val="%1）"/>
      <w:lvlJc w:val="left"/>
    </w:lvl>
  </w:abstractNum>
  <w:abstractNum w:abstractNumId="21">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2">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3">
    <w:nsid w:val="D0BC508B"/>
    <w:multiLevelType w:val="singleLevel"/>
    <w:tmpl w:val="D0BC508B"/>
    <w:lvl w:ilvl="0" w:tentative="0">
      <w:start w:val="1"/>
      <w:numFmt w:val="decimal"/>
      <w:lvlText w:val="%1)"/>
      <w:lvlJc w:val="left"/>
      <w:pPr>
        <w:ind w:left="425" w:hanging="425"/>
      </w:pPr>
      <w:rPr>
        <w:rFonts w:hint="default"/>
      </w:rPr>
    </w:lvl>
  </w:abstractNum>
  <w:abstractNum w:abstractNumId="24">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5">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6">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7">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8">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9">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30">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1">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2">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3">
    <w:nsid w:val="FC0ABF1E"/>
    <w:multiLevelType w:val="singleLevel"/>
    <w:tmpl w:val="FC0ABF1E"/>
    <w:lvl w:ilvl="0" w:tentative="0">
      <w:start w:val="1"/>
      <w:numFmt w:val="decimal"/>
      <w:suff w:val="nothing"/>
      <w:lvlText w:val="%1、"/>
      <w:lvlJc w:val="left"/>
    </w:lvl>
  </w:abstractNum>
  <w:abstractNum w:abstractNumId="34">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5">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6">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7">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8">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9">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0">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1">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2">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3">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4">
    <w:nsid w:val="318533B0"/>
    <w:multiLevelType w:val="singleLevel"/>
    <w:tmpl w:val="318533B0"/>
    <w:lvl w:ilvl="0" w:tentative="0">
      <w:start w:val="4"/>
      <w:numFmt w:val="chineseCounting"/>
      <w:suff w:val="space"/>
      <w:lvlText w:val="第%1章"/>
      <w:lvlJc w:val="left"/>
      <w:rPr>
        <w:rFonts w:hint="eastAsia"/>
      </w:rPr>
    </w:lvl>
  </w:abstractNum>
  <w:abstractNum w:abstractNumId="45">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6">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7">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8">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9">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0">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1">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6"/>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3">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4">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5">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6">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7">
    <w:nsid w:val="62F72C6B"/>
    <w:multiLevelType w:val="multilevel"/>
    <w:tmpl w:val="62F72C6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64A0FCEA"/>
    <w:multiLevelType w:val="singleLevel"/>
    <w:tmpl w:val="64A0FCEA"/>
    <w:lvl w:ilvl="0" w:tentative="0">
      <w:start w:val="1"/>
      <w:numFmt w:val="decimal"/>
      <w:lvlText w:val="%1."/>
      <w:lvlJc w:val="left"/>
      <w:pPr>
        <w:ind w:left="425" w:hanging="425"/>
      </w:pPr>
      <w:rPr>
        <w:rFonts w:hint="default"/>
      </w:rPr>
    </w:lvl>
  </w:abstractNum>
  <w:abstractNum w:abstractNumId="59">
    <w:nsid w:val="6D354E44"/>
    <w:multiLevelType w:val="multilevel"/>
    <w:tmpl w:val="6D354E4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decimal"/>
      <w:lvlText w:val="%3."/>
      <w:lvlJc w:val="right"/>
      <w:pPr>
        <w:ind w:left="1320" w:hanging="440"/>
      </w:pPr>
      <w:rPr>
        <w:rFonts w:hint="eastAsia"/>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0">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1">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2">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3">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4">
    <w:nsid w:val="788892A0"/>
    <w:multiLevelType w:val="singleLevel"/>
    <w:tmpl w:val="788892A0"/>
    <w:lvl w:ilvl="0" w:tentative="0">
      <w:start w:val="1"/>
      <w:numFmt w:val="decimal"/>
      <w:suff w:val="space"/>
      <w:lvlText w:val="5.%1"/>
      <w:lvlJc w:val="left"/>
      <w:pPr>
        <w:ind w:left="0" w:firstLine="480"/>
      </w:pPr>
      <w:rPr>
        <w:rFonts w:hint="default"/>
      </w:rPr>
    </w:lvl>
  </w:abstractNum>
  <w:abstractNum w:abstractNumId="65">
    <w:nsid w:val="7F2E4B5A"/>
    <w:multiLevelType w:val="multilevel"/>
    <w:tmpl w:val="7F2E4B5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1"/>
  </w:num>
  <w:num w:numId="2">
    <w:abstractNumId w:val="14"/>
  </w:num>
  <w:num w:numId="3">
    <w:abstractNumId w:val="40"/>
  </w:num>
  <w:num w:numId="4">
    <w:abstractNumId w:val="63"/>
  </w:num>
  <w:num w:numId="5">
    <w:abstractNumId w:val="60"/>
  </w:num>
  <w:num w:numId="6">
    <w:abstractNumId w:val="36"/>
  </w:num>
  <w:num w:numId="7">
    <w:abstractNumId w:val="22"/>
  </w:num>
  <w:num w:numId="8">
    <w:abstractNumId w:val="47"/>
  </w:num>
  <w:num w:numId="9">
    <w:abstractNumId w:val="43"/>
  </w:num>
  <w:num w:numId="10">
    <w:abstractNumId w:val="8"/>
  </w:num>
  <w:num w:numId="11">
    <w:abstractNumId w:val="17"/>
  </w:num>
  <w:num w:numId="12">
    <w:abstractNumId w:val="50"/>
  </w:num>
  <w:num w:numId="13">
    <w:abstractNumId w:val="64"/>
  </w:num>
  <w:num w:numId="14">
    <w:abstractNumId w:val="12"/>
  </w:num>
  <w:num w:numId="15">
    <w:abstractNumId w:val="61"/>
  </w:num>
  <w:num w:numId="16">
    <w:abstractNumId w:val="42"/>
  </w:num>
  <w:num w:numId="17">
    <w:abstractNumId w:val="56"/>
  </w:num>
  <w:num w:numId="18">
    <w:abstractNumId w:val="45"/>
  </w:num>
  <w:num w:numId="19">
    <w:abstractNumId w:val="35"/>
  </w:num>
  <w:num w:numId="20">
    <w:abstractNumId w:val="39"/>
  </w:num>
  <w:num w:numId="21">
    <w:abstractNumId w:val="15"/>
  </w:num>
  <w:num w:numId="22">
    <w:abstractNumId w:val="27"/>
  </w:num>
  <w:num w:numId="23">
    <w:abstractNumId w:val="34"/>
  </w:num>
  <w:num w:numId="24">
    <w:abstractNumId w:val="48"/>
  </w:num>
  <w:num w:numId="25">
    <w:abstractNumId w:val="29"/>
  </w:num>
  <w:num w:numId="26">
    <w:abstractNumId w:val="6"/>
  </w:num>
  <w:num w:numId="27">
    <w:abstractNumId w:val="49"/>
  </w:num>
  <w:num w:numId="28">
    <w:abstractNumId w:val="16"/>
  </w:num>
  <w:num w:numId="29">
    <w:abstractNumId w:val="2"/>
  </w:num>
  <w:num w:numId="30">
    <w:abstractNumId w:val="52"/>
  </w:num>
  <w:num w:numId="31">
    <w:abstractNumId w:val="46"/>
  </w:num>
  <w:num w:numId="32">
    <w:abstractNumId w:val="37"/>
  </w:num>
  <w:num w:numId="33">
    <w:abstractNumId w:val="7"/>
  </w:num>
  <w:num w:numId="34">
    <w:abstractNumId w:val="38"/>
  </w:num>
  <w:num w:numId="35">
    <w:abstractNumId w:val="54"/>
  </w:num>
  <w:num w:numId="36">
    <w:abstractNumId w:val="53"/>
  </w:num>
  <w:num w:numId="37">
    <w:abstractNumId w:val="3"/>
  </w:num>
  <w:num w:numId="38">
    <w:abstractNumId w:val="30"/>
  </w:num>
  <w:num w:numId="39">
    <w:abstractNumId w:val="55"/>
  </w:num>
  <w:num w:numId="40">
    <w:abstractNumId w:val="26"/>
  </w:num>
  <w:num w:numId="41">
    <w:abstractNumId w:val="9"/>
  </w:num>
  <w:num w:numId="42">
    <w:abstractNumId w:val="4"/>
  </w:num>
  <w:num w:numId="43">
    <w:abstractNumId w:val="10"/>
  </w:num>
  <w:num w:numId="44">
    <w:abstractNumId w:val="31"/>
  </w:num>
  <w:num w:numId="45">
    <w:abstractNumId w:val="18"/>
  </w:num>
  <w:num w:numId="46">
    <w:abstractNumId w:val="28"/>
  </w:num>
  <w:num w:numId="47">
    <w:abstractNumId w:val="19"/>
  </w:num>
  <w:num w:numId="48">
    <w:abstractNumId w:val="62"/>
  </w:num>
  <w:num w:numId="49">
    <w:abstractNumId w:val="21"/>
  </w:num>
  <w:num w:numId="50">
    <w:abstractNumId w:val="25"/>
  </w:num>
  <w:num w:numId="51">
    <w:abstractNumId w:val="1"/>
  </w:num>
  <w:num w:numId="52">
    <w:abstractNumId w:val="5"/>
  </w:num>
  <w:num w:numId="53">
    <w:abstractNumId w:val="44"/>
  </w:num>
  <w:num w:numId="54">
    <w:abstractNumId w:val="13"/>
  </w:num>
  <w:num w:numId="55">
    <w:abstractNumId w:val="59"/>
  </w:num>
  <w:num w:numId="56">
    <w:abstractNumId w:val="33"/>
  </w:num>
  <w:num w:numId="57">
    <w:abstractNumId w:val="20"/>
  </w:num>
  <w:num w:numId="58">
    <w:abstractNumId w:val="58"/>
  </w:num>
  <w:num w:numId="59">
    <w:abstractNumId w:val="23"/>
  </w:num>
  <w:num w:numId="60">
    <w:abstractNumId w:val="65"/>
  </w:num>
  <w:num w:numId="61">
    <w:abstractNumId w:val="57"/>
  </w:num>
  <w:num w:numId="62">
    <w:abstractNumId w:val="0"/>
  </w:num>
  <w:num w:numId="63">
    <w:abstractNumId w:val="41"/>
  </w:num>
  <w:num w:numId="64">
    <w:abstractNumId w:val="11"/>
  </w:num>
  <w:num w:numId="65">
    <w:abstractNumId w:val="32"/>
  </w:num>
  <w:num w:numId="6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documentProtection w:enforcement="0"/>
  <w:defaultTabStop w:val="420"/>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20EAE"/>
    <w:rsid w:val="00022D03"/>
    <w:rsid w:val="00032AFC"/>
    <w:rsid w:val="000400B5"/>
    <w:rsid w:val="00055B15"/>
    <w:rsid w:val="000603A8"/>
    <w:rsid w:val="00072371"/>
    <w:rsid w:val="0007655A"/>
    <w:rsid w:val="00077B10"/>
    <w:rsid w:val="0008213F"/>
    <w:rsid w:val="000A3089"/>
    <w:rsid w:val="000A5DE6"/>
    <w:rsid w:val="000A61ED"/>
    <w:rsid w:val="000A6973"/>
    <w:rsid w:val="000B5A27"/>
    <w:rsid w:val="000C2BA5"/>
    <w:rsid w:val="000C4F86"/>
    <w:rsid w:val="000E0C2D"/>
    <w:rsid w:val="000F5611"/>
    <w:rsid w:val="001029EB"/>
    <w:rsid w:val="00112E04"/>
    <w:rsid w:val="001201BF"/>
    <w:rsid w:val="00120A4B"/>
    <w:rsid w:val="001337E8"/>
    <w:rsid w:val="00140B1D"/>
    <w:rsid w:val="00141BEC"/>
    <w:rsid w:val="0015261B"/>
    <w:rsid w:val="0015779C"/>
    <w:rsid w:val="001607E5"/>
    <w:rsid w:val="001646F3"/>
    <w:rsid w:val="00165164"/>
    <w:rsid w:val="00170BE0"/>
    <w:rsid w:val="00180F91"/>
    <w:rsid w:val="0018213E"/>
    <w:rsid w:val="00193608"/>
    <w:rsid w:val="00195606"/>
    <w:rsid w:val="001A6483"/>
    <w:rsid w:val="001B4835"/>
    <w:rsid w:val="001C11B1"/>
    <w:rsid w:val="001D0594"/>
    <w:rsid w:val="001D6955"/>
    <w:rsid w:val="001D7CE8"/>
    <w:rsid w:val="001E1C4B"/>
    <w:rsid w:val="001E28D6"/>
    <w:rsid w:val="001E28E2"/>
    <w:rsid w:val="001E7127"/>
    <w:rsid w:val="001F355D"/>
    <w:rsid w:val="00203B11"/>
    <w:rsid w:val="0021068C"/>
    <w:rsid w:val="00210AEA"/>
    <w:rsid w:val="00221000"/>
    <w:rsid w:val="002213ED"/>
    <w:rsid w:val="00221EF9"/>
    <w:rsid w:val="00222A23"/>
    <w:rsid w:val="00226D16"/>
    <w:rsid w:val="002302C2"/>
    <w:rsid w:val="00234822"/>
    <w:rsid w:val="0024127A"/>
    <w:rsid w:val="002469C2"/>
    <w:rsid w:val="00252218"/>
    <w:rsid w:val="00253E4C"/>
    <w:rsid w:val="00266824"/>
    <w:rsid w:val="0026714F"/>
    <w:rsid w:val="00270DD7"/>
    <w:rsid w:val="00271038"/>
    <w:rsid w:val="00273426"/>
    <w:rsid w:val="00284A70"/>
    <w:rsid w:val="0028542D"/>
    <w:rsid w:val="002A1655"/>
    <w:rsid w:val="002A2707"/>
    <w:rsid w:val="002A3A54"/>
    <w:rsid w:val="002D20E2"/>
    <w:rsid w:val="002D223F"/>
    <w:rsid w:val="002D6BFF"/>
    <w:rsid w:val="002D6DD1"/>
    <w:rsid w:val="002D7D8E"/>
    <w:rsid w:val="002E05B3"/>
    <w:rsid w:val="002E1847"/>
    <w:rsid w:val="002F2FEE"/>
    <w:rsid w:val="00300310"/>
    <w:rsid w:val="0030132B"/>
    <w:rsid w:val="00301983"/>
    <w:rsid w:val="0030478B"/>
    <w:rsid w:val="00304B99"/>
    <w:rsid w:val="00307A95"/>
    <w:rsid w:val="0031316D"/>
    <w:rsid w:val="00313589"/>
    <w:rsid w:val="003269B7"/>
    <w:rsid w:val="003345C0"/>
    <w:rsid w:val="003375D6"/>
    <w:rsid w:val="00337CC0"/>
    <w:rsid w:val="00341E4E"/>
    <w:rsid w:val="00346C93"/>
    <w:rsid w:val="00351F0B"/>
    <w:rsid w:val="003567D1"/>
    <w:rsid w:val="00361D2E"/>
    <w:rsid w:val="00364C8F"/>
    <w:rsid w:val="0039013E"/>
    <w:rsid w:val="00395A8A"/>
    <w:rsid w:val="003A766D"/>
    <w:rsid w:val="003B7A90"/>
    <w:rsid w:val="003C37E0"/>
    <w:rsid w:val="003C7793"/>
    <w:rsid w:val="003D0883"/>
    <w:rsid w:val="003D2072"/>
    <w:rsid w:val="003D59C2"/>
    <w:rsid w:val="003E7510"/>
    <w:rsid w:val="0040250A"/>
    <w:rsid w:val="00402752"/>
    <w:rsid w:val="00410DB6"/>
    <w:rsid w:val="00411A2A"/>
    <w:rsid w:val="00421CCE"/>
    <w:rsid w:val="00423B77"/>
    <w:rsid w:val="00425339"/>
    <w:rsid w:val="00425CED"/>
    <w:rsid w:val="0043681F"/>
    <w:rsid w:val="004526E8"/>
    <w:rsid w:val="0046283F"/>
    <w:rsid w:val="00464986"/>
    <w:rsid w:val="00465C30"/>
    <w:rsid w:val="00471CD0"/>
    <w:rsid w:val="00473E69"/>
    <w:rsid w:val="00477FD9"/>
    <w:rsid w:val="00484E24"/>
    <w:rsid w:val="00486895"/>
    <w:rsid w:val="004A2C5E"/>
    <w:rsid w:val="004A5AF1"/>
    <w:rsid w:val="004A68BE"/>
    <w:rsid w:val="004B035C"/>
    <w:rsid w:val="004B4FB8"/>
    <w:rsid w:val="004B6B53"/>
    <w:rsid w:val="004E4EF1"/>
    <w:rsid w:val="004E7292"/>
    <w:rsid w:val="004F11AB"/>
    <w:rsid w:val="004F692A"/>
    <w:rsid w:val="00503F76"/>
    <w:rsid w:val="00510283"/>
    <w:rsid w:val="005114F3"/>
    <w:rsid w:val="0051245A"/>
    <w:rsid w:val="00520001"/>
    <w:rsid w:val="005277EE"/>
    <w:rsid w:val="0053715F"/>
    <w:rsid w:val="00553C9B"/>
    <w:rsid w:val="00553E77"/>
    <w:rsid w:val="00555045"/>
    <w:rsid w:val="00564291"/>
    <w:rsid w:val="00573039"/>
    <w:rsid w:val="00581E47"/>
    <w:rsid w:val="00585734"/>
    <w:rsid w:val="005A379C"/>
    <w:rsid w:val="005A4C18"/>
    <w:rsid w:val="005A7CDA"/>
    <w:rsid w:val="005A7EF9"/>
    <w:rsid w:val="005B2948"/>
    <w:rsid w:val="005B3758"/>
    <w:rsid w:val="005B5295"/>
    <w:rsid w:val="005B6EF6"/>
    <w:rsid w:val="005C5753"/>
    <w:rsid w:val="005C62CC"/>
    <w:rsid w:val="005C6410"/>
    <w:rsid w:val="005D3AD4"/>
    <w:rsid w:val="005D3D4E"/>
    <w:rsid w:val="005D6EF2"/>
    <w:rsid w:val="005D6F5A"/>
    <w:rsid w:val="005D7B60"/>
    <w:rsid w:val="005E486A"/>
    <w:rsid w:val="005F107E"/>
    <w:rsid w:val="00612677"/>
    <w:rsid w:val="006178A1"/>
    <w:rsid w:val="0062629B"/>
    <w:rsid w:val="006339E3"/>
    <w:rsid w:val="00636A37"/>
    <w:rsid w:val="0064295D"/>
    <w:rsid w:val="00662F68"/>
    <w:rsid w:val="0066459E"/>
    <w:rsid w:val="00667126"/>
    <w:rsid w:val="00670EFA"/>
    <w:rsid w:val="006716EA"/>
    <w:rsid w:val="00680EDD"/>
    <w:rsid w:val="006A146B"/>
    <w:rsid w:val="006A66A9"/>
    <w:rsid w:val="006A6D9D"/>
    <w:rsid w:val="006C4F85"/>
    <w:rsid w:val="006D41A7"/>
    <w:rsid w:val="006D79F2"/>
    <w:rsid w:val="006D7E45"/>
    <w:rsid w:val="006E0DF4"/>
    <w:rsid w:val="006E3A37"/>
    <w:rsid w:val="006E4E08"/>
    <w:rsid w:val="006F395E"/>
    <w:rsid w:val="006F5FC1"/>
    <w:rsid w:val="00700358"/>
    <w:rsid w:val="0070603D"/>
    <w:rsid w:val="00710EF7"/>
    <w:rsid w:val="0073289E"/>
    <w:rsid w:val="00736626"/>
    <w:rsid w:val="00745D46"/>
    <w:rsid w:val="00751351"/>
    <w:rsid w:val="007530ED"/>
    <w:rsid w:val="00754D51"/>
    <w:rsid w:val="00764880"/>
    <w:rsid w:val="0076676B"/>
    <w:rsid w:val="007745E1"/>
    <w:rsid w:val="007862B4"/>
    <w:rsid w:val="00794443"/>
    <w:rsid w:val="00794A1C"/>
    <w:rsid w:val="00794F67"/>
    <w:rsid w:val="007A1BC7"/>
    <w:rsid w:val="007A3470"/>
    <w:rsid w:val="007A76D2"/>
    <w:rsid w:val="007B3277"/>
    <w:rsid w:val="007B7E2B"/>
    <w:rsid w:val="007C104D"/>
    <w:rsid w:val="007C29C6"/>
    <w:rsid w:val="007C7C89"/>
    <w:rsid w:val="007C7E0C"/>
    <w:rsid w:val="007D74D8"/>
    <w:rsid w:val="007E0FFC"/>
    <w:rsid w:val="007E1D06"/>
    <w:rsid w:val="007E3C98"/>
    <w:rsid w:val="007F5A7E"/>
    <w:rsid w:val="00805042"/>
    <w:rsid w:val="00813CC4"/>
    <w:rsid w:val="00815199"/>
    <w:rsid w:val="00830D14"/>
    <w:rsid w:val="00831BEC"/>
    <w:rsid w:val="00833B18"/>
    <w:rsid w:val="00834261"/>
    <w:rsid w:val="0083608B"/>
    <w:rsid w:val="0084180E"/>
    <w:rsid w:val="00842C4C"/>
    <w:rsid w:val="008475AF"/>
    <w:rsid w:val="00851A4B"/>
    <w:rsid w:val="008537FF"/>
    <w:rsid w:val="00857996"/>
    <w:rsid w:val="008600B1"/>
    <w:rsid w:val="00871637"/>
    <w:rsid w:val="008750CF"/>
    <w:rsid w:val="00882C5C"/>
    <w:rsid w:val="0088428D"/>
    <w:rsid w:val="008B0334"/>
    <w:rsid w:val="008B191D"/>
    <w:rsid w:val="008B57CF"/>
    <w:rsid w:val="008C5D36"/>
    <w:rsid w:val="008D2521"/>
    <w:rsid w:val="008E14D6"/>
    <w:rsid w:val="008E7262"/>
    <w:rsid w:val="008F157A"/>
    <w:rsid w:val="008F15BA"/>
    <w:rsid w:val="00903A81"/>
    <w:rsid w:val="00921E54"/>
    <w:rsid w:val="00931F61"/>
    <w:rsid w:val="009378AD"/>
    <w:rsid w:val="009378E7"/>
    <w:rsid w:val="009408C8"/>
    <w:rsid w:val="00944C53"/>
    <w:rsid w:val="009465DD"/>
    <w:rsid w:val="009479A2"/>
    <w:rsid w:val="00953E1D"/>
    <w:rsid w:val="00973A28"/>
    <w:rsid w:val="009936D4"/>
    <w:rsid w:val="00995FCA"/>
    <w:rsid w:val="00996232"/>
    <w:rsid w:val="009A03A3"/>
    <w:rsid w:val="009A0C15"/>
    <w:rsid w:val="009A33F5"/>
    <w:rsid w:val="009A6545"/>
    <w:rsid w:val="009B3A72"/>
    <w:rsid w:val="009B4219"/>
    <w:rsid w:val="009B7079"/>
    <w:rsid w:val="009C051A"/>
    <w:rsid w:val="009C05D2"/>
    <w:rsid w:val="009C0933"/>
    <w:rsid w:val="009C48C8"/>
    <w:rsid w:val="009D2587"/>
    <w:rsid w:val="009D2D7C"/>
    <w:rsid w:val="009D4E0C"/>
    <w:rsid w:val="009D6207"/>
    <w:rsid w:val="009D7CCA"/>
    <w:rsid w:val="009E4419"/>
    <w:rsid w:val="009F4E50"/>
    <w:rsid w:val="00A062C2"/>
    <w:rsid w:val="00A07524"/>
    <w:rsid w:val="00A14355"/>
    <w:rsid w:val="00A14A46"/>
    <w:rsid w:val="00A21DE4"/>
    <w:rsid w:val="00A26B87"/>
    <w:rsid w:val="00A3056A"/>
    <w:rsid w:val="00A40800"/>
    <w:rsid w:val="00A422CB"/>
    <w:rsid w:val="00A45515"/>
    <w:rsid w:val="00A5032B"/>
    <w:rsid w:val="00A53229"/>
    <w:rsid w:val="00A628B2"/>
    <w:rsid w:val="00A62B46"/>
    <w:rsid w:val="00A67E2D"/>
    <w:rsid w:val="00A80CEF"/>
    <w:rsid w:val="00A84602"/>
    <w:rsid w:val="00A9334D"/>
    <w:rsid w:val="00AA28F4"/>
    <w:rsid w:val="00AA3CA0"/>
    <w:rsid w:val="00AC74E8"/>
    <w:rsid w:val="00AC7581"/>
    <w:rsid w:val="00AD2769"/>
    <w:rsid w:val="00AD78A3"/>
    <w:rsid w:val="00AE00DC"/>
    <w:rsid w:val="00AF078D"/>
    <w:rsid w:val="00AF32F0"/>
    <w:rsid w:val="00B04449"/>
    <w:rsid w:val="00B1285D"/>
    <w:rsid w:val="00B13547"/>
    <w:rsid w:val="00B2311B"/>
    <w:rsid w:val="00B235A5"/>
    <w:rsid w:val="00B24726"/>
    <w:rsid w:val="00B256C9"/>
    <w:rsid w:val="00B274DD"/>
    <w:rsid w:val="00B308BD"/>
    <w:rsid w:val="00B32CF6"/>
    <w:rsid w:val="00B33E55"/>
    <w:rsid w:val="00B346F0"/>
    <w:rsid w:val="00B37DED"/>
    <w:rsid w:val="00B47858"/>
    <w:rsid w:val="00B52F92"/>
    <w:rsid w:val="00B57769"/>
    <w:rsid w:val="00B57FFC"/>
    <w:rsid w:val="00B61499"/>
    <w:rsid w:val="00B61F71"/>
    <w:rsid w:val="00B630AF"/>
    <w:rsid w:val="00B64753"/>
    <w:rsid w:val="00B71C61"/>
    <w:rsid w:val="00B73193"/>
    <w:rsid w:val="00B733C1"/>
    <w:rsid w:val="00B817F0"/>
    <w:rsid w:val="00B94571"/>
    <w:rsid w:val="00B96B3B"/>
    <w:rsid w:val="00B97D58"/>
    <w:rsid w:val="00BA1051"/>
    <w:rsid w:val="00BA6126"/>
    <w:rsid w:val="00BA76DF"/>
    <w:rsid w:val="00BD0A88"/>
    <w:rsid w:val="00BD2A06"/>
    <w:rsid w:val="00BE2A0F"/>
    <w:rsid w:val="00C055FA"/>
    <w:rsid w:val="00C113FA"/>
    <w:rsid w:val="00C16ECB"/>
    <w:rsid w:val="00C17B43"/>
    <w:rsid w:val="00C30720"/>
    <w:rsid w:val="00C31F49"/>
    <w:rsid w:val="00C34208"/>
    <w:rsid w:val="00C377BA"/>
    <w:rsid w:val="00C63349"/>
    <w:rsid w:val="00C674FF"/>
    <w:rsid w:val="00C71F96"/>
    <w:rsid w:val="00C752D4"/>
    <w:rsid w:val="00C80F2D"/>
    <w:rsid w:val="00C9393E"/>
    <w:rsid w:val="00C954C2"/>
    <w:rsid w:val="00CA13FC"/>
    <w:rsid w:val="00CB199D"/>
    <w:rsid w:val="00CC1675"/>
    <w:rsid w:val="00CC25B4"/>
    <w:rsid w:val="00CC3BA0"/>
    <w:rsid w:val="00CD635D"/>
    <w:rsid w:val="00CE3089"/>
    <w:rsid w:val="00CE3D61"/>
    <w:rsid w:val="00CF13FB"/>
    <w:rsid w:val="00CF4A40"/>
    <w:rsid w:val="00D04E69"/>
    <w:rsid w:val="00D076F3"/>
    <w:rsid w:val="00D16694"/>
    <w:rsid w:val="00D20058"/>
    <w:rsid w:val="00D21E37"/>
    <w:rsid w:val="00D223FB"/>
    <w:rsid w:val="00D225D7"/>
    <w:rsid w:val="00D22F68"/>
    <w:rsid w:val="00D242FD"/>
    <w:rsid w:val="00D305CE"/>
    <w:rsid w:val="00D3282E"/>
    <w:rsid w:val="00D40340"/>
    <w:rsid w:val="00D42DE8"/>
    <w:rsid w:val="00D44D86"/>
    <w:rsid w:val="00D47A7B"/>
    <w:rsid w:val="00D51672"/>
    <w:rsid w:val="00D54978"/>
    <w:rsid w:val="00D55695"/>
    <w:rsid w:val="00D56795"/>
    <w:rsid w:val="00D62C19"/>
    <w:rsid w:val="00D70416"/>
    <w:rsid w:val="00D7063B"/>
    <w:rsid w:val="00D72C60"/>
    <w:rsid w:val="00D73674"/>
    <w:rsid w:val="00D82857"/>
    <w:rsid w:val="00D8640E"/>
    <w:rsid w:val="00D940AE"/>
    <w:rsid w:val="00D97143"/>
    <w:rsid w:val="00DA1657"/>
    <w:rsid w:val="00DA34DD"/>
    <w:rsid w:val="00DA782A"/>
    <w:rsid w:val="00DB0A08"/>
    <w:rsid w:val="00DB0DA7"/>
    <w:rsid w:val="00DB2D58"/>
    <w:rsid w:val="00DC5F7F"/>
    <w:rsid w:val="00DC6097"/>
    <w:rsid w:val="00DF7EDA"/>
    <w:rsid w:val="00E007CD"/>
    <w:rsid w:val="00E00FE0"/>
    <w:rsid w:val="00E067E2"/>
    <w:rsid w:val="00E14F6D"/>
    <w:rsid w:val="00E15200"/>
    <w:rsid w:val="00E20604"/>
    <w:rsid w:val="00E2102F"/>
    <w:rsid w:val="00E32E7E"/>
    <w:rsid w:val="00E430F5"/>
    <w:rsid w:val="00E447B2"/>
    <w:rsid w:val="00E45BF0"/>
    <w:rsid w:val="00E516F5"/>
    <w:rsid w:val="00E53407"/>
    <w:rsid w:val="00E62155"/>
    <w:rsid w:val="00E65A28"/>
    <w:rsid w:val="00E677D7"/>
    <w:rsid w:val="00E678A2"/>
    <w:rsid w:val="00E75B0C"/>
    <w:rsid w:val="00E807AE"/>
    <w:rsid w:val="00E839D7"/>
    <w:rsid w:val="00E85EB0"/>
    <w:rsid w:val="00E919E1"/>
    <w:rsid w:val="00E91B32"/>
    <w:rsid w:val="00E9364A"/>
    <w:rsid w:val="00E93C55"/>
    <w:rsid w:val="00EB2111"/>
    <w:rsid w:val="00ED420B"/>
    <w:rsid w:val="00ED4B05"/>
    <w:rsid w:val="00ED5683"/>
    <w:rsid w:val="00EE1746"/>
    <w:rsid w:val="00EF0FFC"/>
    <w:rsid w:val="00EF2007"/>
    <w:rsid w:val="00F00AEA"/>
    <w:rsid w:val="00F04008"/>
    <w:rsid w:val="00F05CD2"/>
    <w:rsid w:val="00F1154C"/>
    <w:rsid w:val="00F14CAE"/>
    <w:rsid w:val="00F17DC1"/>
    <w:rsid w:val="00F22C8D"/>
    <w:rsid w:val="00F24E2C"/>
    <w:rsid w:val="00F309E3"/>
    <w:rsid w:val="00F31D2D"/>
    <w:rsid w:val="00F31F12"/>
    <w:rsid w:val="00F352C0"/>
    <w:rsid w:val="00F364E1"/>
    <w:rsid w:val="00F37D84"/>
    <w:rsid w:val="00F410CF"/>
    <w:rsid w:val="00F6031B"/>
    <w:rsid w:val="00F675BD"/>
    <w:rsid w:val="00F94E49"/>
    <w:rsid w:val="00FA066C"/>
    <w:rsid w:val="00FA08FD"/>
    <w:rsid w:val="00FD12B6"/>
    <w:rsid w:val="00FD3539"/>
    <w:rsid w:val="00FE456B"/>
    <w:rsid w:val="00FF3C15"/>
    <w:rsid w:val="00FF54B5"/>
    <w:rsid w:val="00FF70FB"/>
    <w:rsid w:val="00FF7ADF"/>
    <w:rsid w:val="012B64AF"/>
    <w:rsid w:val="018308D6"/>
    <w:rsid w:val="01933CA1"/>
    <w:rsid w:val="01933E55"/>
    <w:rsid w:val="01BF6469"/>
    <w:rsid w:val="025F09F0"/>
    <w:rsid w:val="027C6AB9"/>
    <w:rsid w:val="0293255D"/>
    <w:rsid w:val="02D84414"/>
    <w:rsid w:val="02DF21EF"/>
    <w:rsid w:val="03A755BC"/>
    <w:rsid w:val="04201EC7"/>
    <w:rsid w:val="04277E06"/>
    <w:rsid w:val="045046FF"/>
    <w:rsid w:val="046D17C2"/>
    <w:rsid w:val="047E36A9"/>
    <w:rsid w:val="047F24B6"/>
    <w:rsid w:val="04943389"/>
    <w:rsid w:val="055E6E53"/>
    <w:rsid w:val="057069E3"/>
    <w:rsid w:val="05CB3586"/>
    <w:rsid w:val="060D10D2"/>
    <w:rsid w:val="060F7A29"/>
    <w:rsid w:val="065A3ABE"/>
    <w:rsid w:val="066C72D7"/>
    <w:rsid w:val="070D3E84"/>
    <w:rsid w:val="0727545E"/>
    <w:rsid w:val="077F1302"/>
    <w:rsid w:val="07D31880"/>
    <w:rsid w:val="07EF7321"/>
    <w:rsid w:val="080539AF"/>
    <w:rsid w:val="084C7436"/>
    <w:rsid w:val="08534C69"/>
    <w:rsid w:val="085A6539"/>
    <w:rsid w:val="086A2D1A"/>
    <w:rsid w:val="08823813"/>
    <w:rsid w:val="08901356"/>
    <w:rsid w:val="08A40BE4"/>
    <w:rsid w:val="08B07D72"/>
    <w:rsid w:val="08C638E4"/>
    <w:rsid w:val="08D77648"/>
    <w:rsid w:val="090E36BE"/>
    <w:rsid w:val="091D123B"/>
    <w:rsid w:val="09684681"/>
    <w:rsid w:val="096B4234"/>
    <w:rsid w:val="098053F7"/>
    <w:rsid w:val="09865C52"/>
    <w:rsid w:val="0992356F"/>
    <w:rsid w:val="09CE51B6"/>
    <w:rsid w:val="0A1318AA"/>
    <w:rsid w:val="0A1554BB"/>
    <w:rsid w:val="0A170B9C"/>
    <w:rsid w:val="0A1D4625"/>
    <w:rsid w:val="0A702F25"/>
    <w:rsid w:val="0B0D419A"/>
    <w:rsid w:val="0BAA1044"/>
    <w:rsid w:val="0C06116B"/>
    <w:rsid w:val="0C0C6DCF"/>
    <w:rsid w:val="0C9534E4"/>
    <w:rsid w:val="0CAD1F59"/>
    <w:rsid w:val="0CB1622C"/>
    <w:rsid w:val="0CC25F19"/>
    <w:rsid w:val="0D4B59D5"/>
    <w:rsid w:val="0D8B0A48"/>
    <w:rsid w:val="0DBD1476"/>
    <w:rsid w:val="0DC64FDA"/>
    <w:rsid w:val="0DE503DD"/>
    <w:rsid w:val="0E5626EA"/>
    <w:rsid w:val="0E5A28FE"/>
    <w:rsid w:val="0EE92F84"/>
    <w:rsid w:val="0EF9321E"/>
    <w:rsid w:val="0EFA6269"/>
    <w:rsid w:val="0F040A6B"/>
    <w:rsid w:val="0F944C2D"/>
    <w:rsid w:val="0FE32D76"/>
    <w:rsid w:val="0FE50224"/>
    <w:rsid w:val="1015640E"/>
    <w:rsid w:val="101C6EAB"/>
    <w:rsid w:val="10207B26"/>
    <w:rsid w:val="10354C54"/>
    <w:rsid w:val="103E3C74"/>
    <w:rsid w:val="104430E9"/>
    <w:rsid w:val="106D43EE"/>
    <w:rsid w:val="10E904CB"/>
    <w:rsid w:val="10F10F73"/>
    <w:rsid w:val="1101240C"/>
    <w:rsid w:val="11191AC1"/>
    <w:rsid w:val="11755E44"/>
    <w:rsid w:val="119D6FA6"/>
    <w:rsid w:val="11ED31A7"/>
    <w:rsid w:val="12036C6C"/>
    <w:rsid w:val="1222375D"/>
    <w:rsid w:val="124A36D5"/>
    <w:rsid w:val="125E02D2"/>
    <w:rsid w:val="12721277"/>
    <w:rsid w:val="12913C7C"/>
    <w:rsid w:val="12A83E03"/>
    <w:rsid w:val="12B979DD"/>
    <w:rsid w:val="12DA4940"/>
    <w:rsid w:val="130726B9"/>
    <w:rsid w:val="134358DA"/>
    <w:rsid w:val="1345230E"/>
    <w:rsid w:val="134756D4"/>
    <w:rsid w:val="13544F51"/>
    <w:rsid w:val="13B8520A"/>
    <w:rsid w:val="13F953EE"/>
    <w:rsid w:val="14203E74"/>
    <w:rsid w:val="143943D3"/>
    <w:rsid w:val="14BF7D76"/>
    <w:rsid w:val="152710CF"/>
    <w:rsid w:val="15284D87"/>
    <w:rsid w:val="15365ECB"/>
    <w:rsid w:val="1544624E"/>
    <w:rsid w:val="15602773"/>
    <w:rsid w:val="15B33C35"/>
    <w:rsid w:val="15B72662"/>
    <w:rsid w:val="160475A2"/>
    <w:rsid w:val="160A26DF"/>
    <w:rsid w:val="160D6484"/>
    <w:rsid w:val="16337E88"/>
    <w:rsid w:val="165027E8"/>
    <w:rsid w:val="16646293"/>
    <w:rsid w:val="16893CA2"/>
    <w:rsid w:val="17163A31"/>
    <w:rsid w:val="1720639D"/>
    <w:rsid w:val="177B5642"/>
    <w:rsid w:val="18056F1E"/>
    <w:rsid w:val="18824714"/>
    <w:rsid w:val="18AE6841"/>
    <w:rsid w:val="18BA206E"/>
    <w:rsid w:val="18C539B6"/>
    <w:rsid w:val="18E611E1"/>
    <w:rsid w:val="19063631"/>
    <w:rsid w:val="19230A2E"/>
    <w:rsid w:val="193C6E2E"/>
    <w:rsid w:val="1951749F"/>
    <w:rsid w:val="1959610D"/>
    <w:rsid w:val="19933EEE"/>
    <w:rsid w:val="19CB13F6"/>
    <w:rsid w:val="19CF1C75"/>
    <w:rsid w:val="19CF368D"/>
    <w:rsid w:val="19E55985"/>
    <w:rsid w:val="19F85670"/>
    <w:rsid w:val="1A0836F9"/>
    <w:rsid w:val="1A4426FE"/>
    <w:rsid w:val="1A5852A5"/>
    <w:rsid w:val="1A6C60CD"/>
    <w:rsid w:val="1A875FC6"/>
    <w:rsid w:val="1B107F9F"/>
    <w:rsid w:val="1B1875CE"/>
    <w:rsid w:val="1B5817A4"/>
    <w:rsid w:val="1B835B95"/>
    <w:rsid w:val="1BA842D2"/>
    <w:rsid w:val="1BCA6B98"/>
    <w:rsid w:val="1BCD48DA"/>
    <w:rsid w:val="1C8E057A"/>
    <w:rsid w:val="1CA11867"/>
    <w:rsid w:val="1CBA19FF"/>
    <w:rsid w:val="1CE15268"/>
    <w:rsid w:val="1CF433CF"/>
    <w:rsid w:val="1D1A3B4F"/>
    <w:rsid w:val="1D2422D8"/>
    <w:rsid w:val="1D7F5DED"/>
    <w:rsid w:val="1D88230D"/>
    <w:rsid w:val="1DD23A28"/>
    <w:rsid w:val="1E036392"/>
    <w:rsid w:val="1E2C3B3A"/>
    <w:rsid w:val="1E4F15D7"/>
    <w:rsid w:val="1E8B1950"/>
    <w:rsid w:val="1E8F40C9"/>
    <w:rsid w:val="1EA60F0C"/>
    <w:rsid w:val="1EBA1146"/>
    <w:rsid w:val="1EE75CB3"/>
    <w:rsid w:val="1EF63F47"/>
    <w:rsid w:val="1F1C595D"/>
    <w:rsid w:val="1F2509F8"/>
    <w:rsid w:val="1F484BC1"/>
    <w:rsid w:val="1F7074E6"/>
    <w:rsid w:val="1F951903"/>
    <w:rsid w:val="1F9E2816"/>
    <w:rsid w:val="1FB45B95"/>
    <w:rsid w:val="1FC658C9"/>
    <w:rsid w:val="200636BC"/>
    <w:rsid w:val="200A1DD2"/>
    <w:rsid w:val="202D3B9A"/>
    <w:rsid w:val="207E43F5"/>
    <w:rsid w:val="209D7852"/>
    <w:rsid w:val="20C067BC"/>
    <w:rsid w:val="20C17309"/>
    <w:rsid w:val="216059C5"/>
    <w:rsid w:val="217D645B"/>
    <w:rsid w:val="21A63602"/>
    <w:rsid w:val="21AF7EF2"/>
    <w:rsid w:val="21C30CB0"/>
    <w:rsid w:val="21CF6E31"/>
    <w:rsid w:val="21D104C4"/>
    <w:rsid w:val="21E6112F"/>
    <w:rsid w:val="22017635"/>
    <w:rsid w:val="222334A6"/>
    <w:rsid w:val="229D231D"/>
    <w:rsid w:val="22DC670F"/>
    <w:rsid w:val="23325476"/>
    <w:rsid w:val="234014DA"/>
    <w:rsid w:val="234442DC"/>
    <w:rsid w:val="235E3DED"/>
    <w:rsid w:val="237044C9"/>
    <w:rsid w:val="239F7881"/>
    <w:rsid w:val="23A41AA9"/>
    <w:rsid w:val="23D20354"/>
    <w:rsid w:val="24013373"/>
    <w:rsid w:val="241E2177"/>
    <w:rsid w:val="2445396E"/>
    <w:rsid w:val="24690789"/>
    <w:rsid w:val="247D6DFF"/>
    <w:rsid w:val="24EB210A"/>
    <w:rsid w:val="24EB4A9F"/>
    <w:rsid w:val="2557368E"/>
    <w:rsid w:val="25643BBA"/>
    <w:rsid w:val="25C909A2"/>
    <w:rsid w:val="25FE6C33"/>
    <w:rsid w:val="261E645E"/>
    <w:rsid w:val="26203303"/>
    <w:rsid w:val="26923DF3"/>
    <w:rsid w:val="26B03760"/>
    <w:rsid w:val="27914877"/>
    <w:rsid w:val="27DE4458"/>
    <w:rsid w:val="27E9484A"/>
    <w:rsid w:val="27F51449"/>
    <w:rsid w:val="28043921"/>
    <w:rsid w:val="283F5126"/>
    <w:rsid w:val="285808AB"/>
    <w:rsid w:val="288844C9"/>
    <w:rsid w:val="28920A3E"/>
    <w:rsid w:val="2894540F"/>
    <w:rsid w:val="28CC0E2E"/>
    <w:rsid w:val="28E2361B"/>
    <w:rsid w:val="28EB45AC"/>
    <w:rsid w:val="291B6C85"/>
    <w:rsid w:val="293B10D5"/>
    <w:rsid w:val="293E6CA2"/>
    <w:rsid w:val="29612A4E"/>
    <w:rsid w:val="29820AB2"/>
    <w:rsid w:val="29945580"/>
    <w:rsid w:val="29A10317"/>
    <w:rsid w:val="29BA649E"/>
    <w:rsid w:val="29FD7462"/>
    <w:rsid w:val="2A337FFE"/>
    <w:rsid w:val="2A574B50"/>
    <w:rsid w:val="2A60125B"/>
    <w:rsid w:val="2A64640A"/>
    <w:rsid w:val="2AC11877"/>
    <w:rsid w:val="2AC439B0"/>
    <w:rsid w:val="2B1E2A5D"/>
    <w:rsid w:val="2B2140BD"/>
    <w:rsid w:val="2B2D2583"/>
    <w:rsid w:val="2B2F2046"/>
    <w:rsid w:val="2B8332F5"/>
    <w:rsid w:val="2B867186"/>
    <w:rsid w:val="2B92485A"/>
    <w:rsid w:val="2B996296"/>
    <w:rsid w:val="2B9C1C62"/>
    <w:rsid w:val="2BBF256D"/>
    <w:rsid w:val="2BDB3C20"/>
    <w:rsid w:val="2BFF27DA"/>
    <w:rsid w:val="2C312C91"/>
    <w:rsid w:val="2C312F58"/>
    <w:rsid w:val="2C4C35F9"/>
    <w:rsid w:val="2C932FD6"/>
    <w:rsid w:val="2CA040B5"/>
    <w:rsid w:val="2CF9108B"/>
    <w:rsid w:val="2D003340"/>
    <w:rsid w:val="2D232094"/>
    <w:rsid w:val="2D900EBE"/>
    <w:rsid w:val="2DB27BB8"/>
    <w:rsid w:val="2DBE0EDA"/>
    <w:rsid w:val="2DD56C05"/>
    <w:rsid w:val="2DE31D62"/>
    <w:rsid w:val="2E165C6D"/>
    <w:rsid w:val="2E2A34C6"/>
    <w:rsid w:val="2EAC037F"/>
    <w:rsid w:val="2EC9539F"/>
    <w:rsid w:val="2ECA3E2D"/>
    <w:rsid w:val="2EDD678B"/>
    <w:rsid w:val="2EEC39D8"/>
    <w:rsid w:val="2EED10C4"/>
    <w:rsid w:val="2EEF1362"/>
    <w:rsid w:val="2F057E2F"/>
    <w:rsid w:val="2F3321FA"/>
    <w:rsid w:val="2F544C9F"/>
    <w:rsid w:val="2F5B2AB4"/>
    <w:rsid w:val="2F751905"/>
    <w:rsid w:val="2F842A63"/>
    <w:rsid w:val="2FFB046F"/>
    <w:rsid w:val="304B06CD"/>
    <w:rsid w:val="3052124B"/>
    <w:rsid w:val="305A25CD"/>
    <w:rsid w:val="309E0B21"/>
    <w:rsid w:val="30AD0B0B"/>
    <w:rsid w:val="30B8216E"/>
    <w:rsid w:val="30D56E57"/>
    <w:rsid w:val="31493044"/>
    <w:rsid w:val="317F1D7B"/>
    <w:rsid w:val="31B00187"/>
    <w:rsid w:val="31CA396C"/>
    <w:rsid w:val="31FC517A"/>
    <w:rsid w:val="32226600"/>
    <w:rsid w:val="323B0398"/>
    <w:rsid w:val="326A4276"/>
    <w:rsid w:val="32D36F23"/>
    <w:rsid w:val="33091D56"/>
    <w:rsid w:val="33637328"/>
    <w:rsid w:val="338F44F8"/>
    <w:rsid w:val="339C4E66"/>
    <w:rsid w:val="33B201E6"/>
    <w:rsid w:val="33B43DDA"/>
    <w:rsid w:val="33D57001"/>
    <w:rsid w:val="33DC1003"/>
    <w:rsid w:val="33FE167D"/>
    <w:rsid w:val="34017A8A"/>
    <w:rsid w:val="340D2785"/>
    <w:rsid w:val="343F6EBA"/>
    <w:rsid w:val="350B7DFE"/>
    <w:rsid w:val="359A701B"/>
    <w:rsid w:val="35CD57AB"/>
    <w:rsid w:val="35D4620E"/>
    <w:rsid w:val="35ED3757"/>
    <w:rsid w:val="367A15B2"/>
    <w:rsid w:val="36B24E78"/>
    <w:rsid w:val="36EA513D"/>
    <w:rsid w:val="36F01751"/>
    <w:rsid w:val="370B5FE0"/>
    <w:rsid w:val="370E607B"/>
    <w:rsid w:val="37315AF4"/>
    <w:rsid w:val="373A0C1E"/>
    <w:rsid w:val="37C64260"/>
    <w:rsid w:val="37FA7A6D"/>
    <w:rsid w:val="37FE0AA6"/>
    <w:rsid w:val="38496D6C"/>
    <w:rsid w:val="38806B33"/>
    <w:rsid w:val="388D1222"/>
    <w:rsid w:val="3892621E"/>
    <w:rsid w:val="38926838"/>
    <w:rsid w:val="389D76B7"/>
    <w:rsid w:val="38B663C8"/>
    <w:rsid w:val="38C157B9"/>
    <w:rsid w:val="38C904AC"/>
    <w:rsid w:val="38CA2129"/>
    <w:rsid w:val="38E05B90"/>
    <w:rsid w:val="39035521"/>
    <w:rsid w:val="39E633D8"/>
    <w:rsid w:val="39F01A68"/>
    <w:rsid w:val="3A1D123D"/>
    <w:rsid w:val="3A744447"/>
    <w:rsid w:val="3AA30888"/>
    <w:rsid w:val="3ADD5E57"/>
    <w:rsid w:val="3AFB3576"/>
    <w:rsid w:val="3B5E7CF7"/>
    <w:rsid w:val="3BC44F5A"/>
    <w:rsid w:val="3BCE3FE5"/>
    <w:rsid w:val="3BD74CEB"/>
    <w:rsid w:val="3BED091B"/>
    <w:rsid w:val="3C3D4818"/>
    <w:rsid w:val="3C60699C"/>
    <w:rsid w:val="3C806563"/>
    <w:rsid w:val="3CF60458"/>
    <w:rsid w:val="3D042809"/>
    <w:rsid w:val="3DC855C0"/>
    <w:rsid w:val="3E8743FE"/>
    <w:rsid w:val="3EA17748"/>
    <w:rsid w:val="3F472A48"/>
    <w:rsid w:val="3F992808"/>
    <w:rsid w:val="3FB53538"/>
    <w:rsid w:val="3FB83028"/>
    <w:rsid w:val="3FBE048B"/>
    <w:rsid w:val="3FEB6F5A"/>
    <w:rsid w:val="40602C8E"/>
    <w:rsid w:val="4067627C"/>
    <w:rsid w:val="409265EE"/>
    <w:rsid w:val="40D07EFD"/>
    <w:rsid w:val="40F2256A"/>
    <w:rsid w:val="40F876EA"/>
    <w:rsid w:val="415218E2"/>
    <w:rsid w:val="417170A1"/>
    <w:rsid w:val="41983619"/>
    <w:rsid w:val="41B67E09"/>
    <w:rsid w:val="41C9151C"/>
    <w:rsid w:val="41F221ED"/>
    <w:rsid w:val="42B90F78"/>
    <w:rsid w:val="42DC057D"/>
    <w:rsid w:val="431C742A"/>
    <w:rsid w:val="43301127"/>
    <w:rsid w:val="43CA5267"/>
    <w:rsid w:val="43D64B5B"/>
    <w:rsid w:val="444F53BD"/>
    <w:rsid w:val="44737C99"/>
    <w:rsid w:val="44DC75E9"/>
    <w:rsid w:val="44ED5664"/>
    <w:rsid w:val="44F22CFD"/>
    <w:rsid w:val="44F364BA"/>
    <w:rsid w:val="44F550BD"/>
    <w:rsid w:val="45437BF3"/>
    <w:rsid w:val="456A6701"/>
    <w:rsid w:val="45A1630C"/>
    <w:rsid w:val="45D756FD"/>
    <w:rsid w:val="45F24ED8"/>
    <w:rsid w:val="46990044"/>
    <w:rsid w:val="46DA15C8"/>
    <w:rsid w:val="46DC3AA0"/>
    <w:rsid w:val="46E4575A"/>
    <w:rsid w:val="473A796F"/>
    <w:rsid w:val="47726C6E"/>
    <w:rsid w:val="4789176B"/>
    <w:rsid w:val="479A3013"/>
    <w:rsid w:val="47BB58A8"/>
    <w:rsid w:val="47EA53F7"/>
    <w:rsid w:val="48453A87"/>
    <w:rsid w:val="48616533"/>
    <w:rsid w:val="4868022B"/>
    <w:rsid w:val="486C49B0"/>
    <w:rsid w:val="489610DE"/>
    <w:rsid w:val="48E73DE4"/>
    <w:rsid w:val="49165F74"/>
    <w:rsid w:val="494476DB"/>
    <w:rsid w:val="496F29A9"/>
    <w:rsid w:val="49A454A8"/>
    <w:rsid w:val="49B22A94"/>
    <w:rsid w:val="49BC0661"/>
    <w:rsid w:val="49BF63F4"/>
    <w:rsid w:val="49C66341"/>
    <w:rsid w:val="4A383DFB"/>
    <w:rsid w:val="4A8E3303"/>
    <w:rsid w:val="4AA743C5"/>
    <w:rsid w:val="4AD52586"/>
    <w:rsid w:val="4AE03433"/>
    <w:rsid w:val="4B1E03E7"/>
    <w:rsid w:val="4B30329B"/>
    <w:rsid w:val="4B3F63D0"/>
    <w:rsid w:val="4BA95F1B"/>
    <w:rsid w:val="4BD9754E"/>
    <w:rsid w:val="4BE920DE"/>
    <w:rsid w:val="4BF707D3"/>
    <w:rsid w:val="4C054A64"/>
    <w:rsid w:val="4C472813"/>
    <w:rsid w:val="4C4C4730"/>
    <w:rsid w:val="4C537145"/>
    <w:rsid w:val="4C6D6F48"/>
    <w:rsid w:val="4C6E642C"/>
    <w:rsid w:val="4CD644AB"/>
    <w:rsid w:val="4CEC60BF"/>
    <w:rsid w:val="4D07521F"/>
    <w:rsid w:val="4D1A109E"/>
    <w:rsid w:val="4D1D271C"/>
    <w:rsid w:val="4D371A30"/>
    <w:rsid w:val="4D3B5C7F"/>
    <w:rsid w:val="4D8602C2"/>
    <w:rsid w:val="4DA30E74"/>
    <w:rsid w:val="4DD74EB3"/>
    <w:rsid w:val="4E0C23A2"/>
    <w:rsid w:val="4E642768"/>
    <w:rsid w:val="4E821DCA"/>
    <w:rsid w:val="4E922C96"/>
    <w:rsid w:val="4E934692"/>
    <w:rsid w:val="4EA053B3"/>
    <w:rsid w:val="4EA8070C"/>
    <w:rsid w:val="4EC77780"/>
    <w:rsid w:val="4EE47D9D"/>
    <w:rsid w:val="4EF3271A"/>
    <w:rsid w:val="4F02606E"/>
    <w:rsid w:val="4F471CD3"/>
    <w:rsid w:val="4F6C6F67"/>
    <w:rsid w:val="4F8A257E"/>
    <w:rsid w:val="4FA94B75"/>
    <w:rsid w:val="4FD55530"/>
    <w:rsid w:val="50000343"/>
    <w:rsid w:val="504656BE"/>
    <w:rsid w:val="50AF3052"/>
    <w:rsid w:val="50B667D3"/>
    <w:rsid w:val="50EC0D83"/>
    <w:rsid w:val="51074E73"/>
    <w:rsid w:val="511B709E"/>
    <w:rsid w:val="512E27E4"/>
    <w:rsid w:val="513F5B12"/>
    <w:rsid w:val="51922560"/>
    <w:rsid w:val="51D94B20"/>
    <w:rsid w:val="51E11D57"/>
    <w:rsid w:val="52157E66"/>
    <w:rsid w:val="521A1920"/>
    <w:rsid w:val="52562E9B"/>
    <w:rsid w:val="52C84ED8"/>
    <w:rsid w:val="5314255F"/>
    <w:rsid w:val="53165C44"/>
    <w:rsid w:val="53402E60"/>
    <w:rsid w:val="53445E7D"/>
    <w:rsid w:val="535029F5"/>
    <w:rsid w:val="536F0303"/>
    <w:rsid w:val="5376722C"/>
    <w:rsid w:val="53AE64B7"/>
    <w:rsid w:val="53C15FC4"/>
    <w:rsid w:val="53EE716F"/>
    <w:rsid w:val="5402266C"/>
    <w:rsid w:val="542C77C3"/>
    <w:rsid w:val="543842E0"/>
    <w:rsid w:val="54613BF0"/>
    <w:rsid w:val="54803E83"/>
    <w:rsid w:val="54A67309"/>
    <w:rsid w:val="54AB2D04"/>
    <w:rsid w:val="54CF6057"/>
    <w:rsid w:val="54F71327"/>
    <w:rsid w:val="55286102"/>
    <w:rsid w:val="55511063"/>
    <w:rsid w:val="55CF47D0"/>
    <w:rsid w:val="55EA433F"/>
    <w:rsid w:val="55FB0FFC"/>
    <w:rsid w:val="561346BC"/>
    <w:rsid w:val="563228AA"/>
    <w:rsid w:val="563B3C13"/>
    <w:rsid w:val="567C046F"/>
    <w:rsid w:val="568850AA"/>
    <w:rsid w:val="56C43C09"/>
    <w:rsid w:val="56EA18C1"/>
    <w:rsid w:val="57106FCA"/>
    <w:rsid w:val="575941FC"/>
    <w:rsid w:val="57A23F4A"/>
    <w:rsid w:val="57A46D66"/>
    <w:rsid w:val="57B42F13"/>
    <w:rsid w:val="58070251"/>
    <w:rsid w:val="584C2108"/>
    <w:rsid w:val="58827087"/>
    <w:rsid w:val="58BD5526"/>
    <w:rsid w:val="58DD0FB2"/>
    <w:rsid w:val="58F52835"/>
    <w:rsid w:val="58F5454D"/>
    <w:rsid w:val="592D018B"/>
    <w:rsid w:val="595963F1"/>
    <w:rsid w:val="599A2988"/>
    <w:rsid w:val="59CC6E29"/>
    <w:rsid w:val="5A047A6B"/>
    <w:rsid w:val="5A253D2B"/>
    <w:rsid w:val="5A4A08C9"/>
    <w:rsid w:val="5A7B154E"/>
    <w:rsid w:val="5A852D99"/>
    <w:rsid w:val="5AC468CD"/>
    <w:rsid w:val="5B3A4258"/>
    <w:rsid w:val="5B7F1DF1"/>
    <w:rsid w:val="5BBC75A4"/>
    <w:rsid w:val="5BCF7320"/>
    <w:rsid w:val="5BDE1EE0"/>
    <w:rsid w:val="5C007491"/>
    <w:rsid w:val="5C292E8C"/>
    <w:rsid w:val="5C49708A"/>
    <w:rsid w:val="5C6A6CA3"/>
    <w:rsid w:val="5C6F779B"/>
    <w:rsid w:val="5C892F65"/>
    <w:rsid w:val="5CA761D1"/>
    <w:rsid w:val="5CB807C5"/>
    <w:rsid w:val="5CD2438D"/>
    <w:rsid w:val="5CFF31EA"/>
    <w:rsid w:val="5D1834C1"/>
    <w:rsid w:val="5D24191A"/>
    <w:rsid w:val="5D627860"/>
    <w:rsid w:val="5D69494E"/>
    <w:rsid w:val="5D7A728A"/>
    <w:rsid w:val="5D87607F"/>
    <w:rsid w:val="5DB91881"/>
    <w:rsid w:val="5DC559D7"/>
    <w:rsid w:val="5E007347"/>
    <w:rsid w:val="5E2B4AF7"/>
    <w:rsid w:val="5E394EDC"/>
    <w:rsid w:val="5E4F64AE"/>
    <w:rsid w:val="5E6466ED"/>
    <w:rsid w:val="5E954808"/>
    <w:rsid w:val="5EB84053"/>
    <w:rsid w:val="5EC92704"/>
    <w:rsid w:val="5F4C3A48"/>
    <w:rsid w:val="5F74BA73"/>
    <w:rsid w:val="5FE844E8"/>
    <w:rsid w:val="5FEFE110"/>
    <w:rsid w:val="60373891"/>
    <w:rsid w:val="605303A5"/>
    <w:rsid w:val="60687CFB"/>
    <w:rsid w:val="60B92304"/>
    <w:rsid w:val="60E6759D"/>
    <w:rsid w:val="611559C9"/>
    <w:rsid w:val="612E4AA0"/>
    <w:rsid w:val="613864C7"/>
    <w:rsid w:val="61461670"/>
    <w:rsid w:val="61614E76"/>
    <w:rsid w:val="61633D55"/>
    <w:rsid w:val="6183303E"/>
    <w:rsid w:val="619A0388"/>
    <w:rsid w:val="61D76EE6"/>
    <w:rsid w:val="6211676B"/>
    <w:rsid w:val="62451DF4"/>
    <w:rsid w:val="62573C41"/>
    <w:rsid w:val="62A019CE"/>
    <w:rsid w:val="63CF256B"/>
    <w:rsid w:val="63F024E1"/>
    <w:rsid w:val="64276A3B"/>
    <w:rsid w:val="647132F6"/>
    <w:rsid w:val="6497136C"/>
    <w:rsid w:val="64C45DE1"/>
    <w:rsid w:val="64D03589"/>
    <w:rsid w:val="652F13E7"/>
    <w:rsid w:val="65420B1A"/>
    <w:rsid w:val="65817895"/>
    <w:rsid w:val="65C6778F"/>
    <w:rsid w:val="66123504"/>
    <w:rsid w:val="66AF143A"/>
    <w:rsid w:val="66B2560C"/>
    <w:rsid w:val="66DC57F7"/>
    <w:rsid w:val="671F556E"/>
    <w:rsid w:val="67BF4478"/>
    <w:rsid w:val="67E27EFB"/>
    <w:rsid w:val="67E934CF"/>
    <w:rsid w:val="686F7E78"/>
    <w:rsid w:val="68E36E09"/>
    <w:rsid w:val="690D2F77"/>
    <w:rsid w:val="69154ABB"/>
    <w:rsid w:val="6A040A94"/>
    <w:rsid w:val="6A31115D"/>
    <w:rsid w:val="6A3E0496"/>
    <w:rsid w:val="6A927A03"/>
    <w:rsid w:val="6AF503DD"/>
    <w:rsid w:val="6AF93F9C"/>
    <w:rsid w:val="6B1420D1"/>
    <w:rsid w:val="6B603B25"/>
    <w:rsid w:val="6B7457A6"/>
    <w:rsid w:val="6B7E0A2B"/>
    <w:rsid w:val="6BE65D28"/>
    <w:rsid w:val="6C1E6BE5"/>
    <w:rsid w:val="6C5C0714"/>
    <w:rsid w:val="6C863145"/>
    <w:rsid w:val="6D0244F4"/>
    <w:rsid w:val="6E035CC9"/>
    <w:rsid w:val="6E2D0DB9"/>
    <w:rsid w:val="6E477DFD"/>
    <w:rsid w:val="6ED22F0F"/>
    <w:rsid w:val="6F0A08FB"/>
    <w:rsid w:val="6F3962A9"/>
    <w:rsid w:val="6F437969"/>
    <w:rsid w:val="6F7A7103"/>
    <w:rsid w:val="6F926B42"/>
    <w:rsid w:val="6FB70357"/>
    <w:rsid w:val="6FDC61FC"/>
    <w:rsid w:val="7009478C"/>
    <w:rsid w:val="701F03D6"/>
    <w:rsid w:val="70813A4D"/>
    <w:rsid w:val="709C1A26"/>
    <w:rsid w:val="70A15EF2"/>
    <w:rsid w:val="70A703CB"/>
    <w:rsid w:val="70E33C39"/>
    <w:rsid w:val="70F057BF"/>
    <w:rsid w:val="710A57AD"/>
    <w:rsid w:val="713E2810"/>
    <w:rsid w:val="71C64881"/>
    <w:rsid w:val="71CB3CB6"/>
    <w:rsid w:val="71D074AE"/>
    <w:rsid w:val="71F55465"/>
    <w:rsid w:val="720C1985"/>
    <w:rsid w:val="721E646B"/>
    <w:rsid w:val="725718DB"/>
    <w:rsid w:val="72624905"/>
    <w:rsid w:val="728C28C5"/>
    <w:rsid w:val="72A050D2"/>
    <w:rsid w:val="72AC4C7F"/>
    <w:rsid w:val="732B62AD"/>
    <w:rsid w:val="735F0AE9"/>
    <w:rsid w:val="7371347D"/>
    <w:rsid w:val="73ABFDBF"/>
    <w:rsid w:val="73E04723"/>
    <w:rsid w:val="742B7ECE"/>
    <w:rsid w:val="742C30C1"/>
    <w:rsid w:val="74395D95"/>
    <w:rsid w:val="74547A54"/>
    <w:rsid w:val="74591FEB"/>
    <w:rsid w:val="745E7518"/>
    <w:rsid w:val="748B4BCA"/>
    <w:rsid w:val="74CF1C9F"/>
    <w:rsid w:val="74E00EDF"/>
    <w:rsid w:val="75260EE2"/>
    <w:rsid w:val="757C1E26"/>
    <w:rsid w:val="75CF430F"/>
    <w:rsid w:val="75EF25F8"/>
    <w:rsid w:val="75F2239C"/>
    <w:rsid w:val="76373B19"/>
    <w:rsid w:val="763F76B7"/>
    <w:rsid w:val="76571F4C"/>
    <w:rsid w:val="76597BBA"/>
    <w:rsid w:val="769766F2"/>
    <w:rsid w:val="76BD44A5"/>
    <w:rsid w:val="770152F0"/>
    <w:rsid w:val="77440DA3"/>
    <w:rsid w:val="77456248"/>
    <w:rsid w:val="77B5517C"/>
    <w:rsid w:val="77FA652A"/>
    <w:rsid w:val="78283BA0"/>
    <w:rsid w:val="78843B4A"/>
    <w:rsid w:val="788E6CCB"/>
    <w:rsid w:val="78C80561"/>
    <w:rsid w:val="78CF754F"/>
    <w:rsid w:val="78E10234"/>
    <w:rsid w:val="78EC4EA5"/>
    <w:rsid w:val="78FF03F7"/>
    <w:rsid w:val="7904730A"/>
    <w:rsid w:val="790D55A6"/>
    <w:rsid w:val="79312F28"/>
    <w:rsid w:val="795F513D"/>
    <w:rsid w:val="7987746E"/>
    <w:rsid w:val="79BF22E2"/>
    <w:rsid w:val="7A094544"/>
    <w:rsid w:val="7A7E78DC"/>
    <w:rsid w:val="7AF81F4F"/>
    <w:rsid w:val="7B0004F2"/>
    <w:rsid w:val="7B1C3E77"/>
    <w:rsid w:val="7B8C08E9"/>
    <w:rsid w:val="7BA51879"/>
    <w:rsid w:val="7BD858DD"/>
    <w:rsid w:val="7C084414"/>
    <w:rsid w:val="7CE55E16"/>
    <w:rsid w:val="7D1961AD"/>
    <w:rsid w:val="7D285296"/>
    <w:rsid w:val="7D3812BF"/>
    <w:rsid w:val="7D3927A9"/>
    <w:rsid w:val="7D455617"/>
    <w:rsid w:val="7D553A71"/>
    <w:rsid w:val="7DA67B57"/>
    <w:rsid w:val="7E0D1B42"/>
    <w:rsid w:val="7E464D80"/>
    <w:rsid w:val="7E912651"/>
    <w:rsid w:val="7EB51837"/>
    <w:rsid w:val="7EB57D24"/>
    <w:rsid w:val="7EDE320A"/>
    <w:rsid w:val="7EF42A2E"/>
    <w:rsid w:val="7EF71C00"/>
    <w:rsid w:val="7F13473F"/>
    <w:rsid w:val="7F250E39"/>
    <w:rsid w:val="7F264BB1"/>
    <w:rsid w:val="7F5D1721"/>
    <w:rsid w:val="7FA507A0"/>
    <w:rsid w:val="7FD45D4F"/>
    <w:rsid w:val="7FE74340"/>
    <w:rsid w:val="BFE658DB"/>
    <w:rsid w:val="FEF38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9"/>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70"/>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71"/>
    <w:qFormat/>
    <w:uiPriority w:val="0"/>
    <w:pPr>
      <w:spacing w:before="120" w:after="120" w:line="360" w:lineRule="auto"/>
      <w:outlineLvl w:val="2"/>
    </w:pPr>
    <w:rPr>
      <w:rFonts w:ascii="Times New Roman" w:hAnsi="Times New Roman"/>
      <w:b/>
      <w:sz w:val="24"/>
    </w:rPr>
  </w:style>
  <w:style w:type="paragraph" w:styleId="6">
    <w:name w:val="heading 4"/>
    <w:next w:val="1"/>
    <w:link w:val="72"/>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3"/>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4"/>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5"/>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6"/>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7"/>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279"/>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8"/>
    <w:unhideWhenUsed/>
    <w:qFormat/>
    <w:uiPriority w:val="99"/>
    <w:pPr>
      <w:jc w:val="left"/>
    </w:pPr>
  </w:style>
  <w:style w:type="paragraph" w:styleId="17">
    <w:name w:val="Body Text"/>
    <w:basedOn w:val="1"/>
    <w:link w:val="79"/>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80"/>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81"/>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82"/>
    <w:unhideWhenUsed/>
    <w:qFormat/>
    <w:uiPriority w:val="99"/>
    <w:rPr>
      <w:sz w:val="20"/>
    </w:rPr>
  </w:style>
  <w:style w:type="paragraph" w:styleId="27">
    <w:name w:val="Balloon Text"/>
    <w:basedOn w:val="1"/>
    <w:link w:val="83"/>
    <w:unhideWhenUsed/>
    <w:qFormat/>
    <w:uiPriority w:val="99"/>
    <w:rPr>
      <w:sz w:val="18"/>
      <w:szCs w:val="18"/>
    </w:rPr>
  </w:style>
  <w:style w:type="paragraph" w:styleId="28">
    <w:name w:val="footer"/>
    <w:basedOn w:val="1"/>
    <w:link w:val="84"/>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5"/>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6"/>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7"/>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9"/>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90"/>
    <w:unhideWhenUsed/>
    <w:qFormat/>
    <w:uiPriority w:val="99"/>
    <w:rPr>
      <w:b/>
      <w:bCs/>
    </w:rPr>
  </w:style>
  <w:style w:type="paragraph" w:styleId="43">
    <w:name w:val="Body Text First Indent"/>
    <w:basedOn w:val="17"/>
    <w:link w:val="278"/>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正文文本1"/>
    <w:basedOn w:val="1"/>
    <w:qFormat/>
    <w:uiPriority w:val="99"/>
    <w:rPr>
      <w:rFonts w:ascii="楷体_GB2312" w:hAnsi="Arial" w:eastAsia="楷体_GB2312"/>
      <w:sz w:val="28"/>
      <w:szCs w:val="20"/>
    </w:rPr>
  </w:style>
  <w:style w:type="paragraph" w:customStyle="1" w:styleId="62">
    <w:name w:val="BodyText1I2"/>
    <w:basedOn w:val="63"/>
    <w:next w:val="1"/>
    <w:autoRedefine/>
    <w:qFormat/>
    <w:uiPriority w:val="0"/>
    <w:pPr>
      <w:spacing w:line="360" w:lineRule="auto"/>
      <w:ind w:firstLine="0" w:firstLineChars="0"/>
      <w:jc w:val="center"/>
    </w:pPr>
    <w:rPr>
      <w:rFonts w:ascii="Calibri" w:hAnsi="Calibri"/>
      <w:b/>
      <w:bCs/>
    </w:rPr>
  </w:style>
  <w:style w:type="paragraph" w:customStyle="1" w:styleId="63">
    <w:name w:val="BodyTextIndent"/>
    <w:basedOn w:val="1"/>
    <w:next w:val="64"/>
    <w:autoRedefine/>
    <w:qFormat/>
    <w:uiPriority w:val="0"/>
    <w:pPr>
      <w:snapToGrid w:val="0"/>
      <w:spacing w:line="440" w:lineRule="exact"/>
      <w:ind w:firstLine="403" w:firstLineChars="192"/>
      <w:textAlignment w:val="baseline"/>
    </w:pPr>
    <w:rPr>
      <w:rFonts w:ascii="宋体" w:hAnsi="宋体"/>
    </w:rPr>
  </w:style>
  <w:style w:type="paragraph" w:customStyle="1" w:styleId="64">
    <w:name w:val="EnvelopeReturn"/>
    <w:basedOn w:val="1"/>
    <w:autoRedefine/>
    <w:qFormat/>
    <w:uiPriority w:val="0"/>
    <w:pPr>
      <w:snapToGrid w:val="0"/>
      <w:textAlignment w:val="baseline"/>
    </w:pPr>
    <w:rPr>
      <w:rFonts w:ascii="Arial" w:hAnsi="Arial"/>
    </w:rPr>
  </w:style>
  <w:style w:type="paragraph" w:customStyle="1" w:styleId="65">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6">
    <w:name w:val="一级条标题"/>
    <w:basedOn w:val="67"/>
    <w:next w:val="6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7">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8">
    <w:name w:val="段"/>
    <w:basedOn w:val="1"/>
    <w:next w:val="1"/>
    <w:qFormat/>
    <w:uiPriority w:val="0"/>
    <w:pPr>
      <w:widowControl/>
      <w:ind w:firstLine="200"/>
    </w:pPr>
    <w:rPr>
      <w:rFonts w:hint="eastAsia" w:ascii="宋体"/>
      <w:szCs w:val="20"/>
    </w:rPr>
  </w:style>
  <w:style w:type="character" w:customStyle="1" w:styleId="69">
    <w:name w:val="标题 1 字符"/>
    <w:link w:val="2"/>
    <w:qFormat/>
    <w:uiPriority w:val="99"/>
    <w:rPr>
      <w:rFonts w:ascii="宋体" w:hAnsi="宋体" w:eastAsia="宋体" w:cs="Times New Roman"/>
      <w:b/>
      <w:bCs/>
      <w:sz w:val="14"/>
      <w:szCs w:val="14"/>
    </w:rPr>
  </w:style>
  <w:style w:type="character" w:customStyle="1" w:styleId="70">
    <w:name w:val="标题 2 字符"/>
    <w:link w:val="4"/>
    <w:qFormat/>
    <w:uiPriority w:val="0"/>
    <w:rPr>
      <w:rFonts w:ascii="Arial" w:hAnsi="Arial" w:eastAsia="黑体" w:cs="Arial"/>
      <w:b/>
      <w:bCs/>
      <w:sz w:val="32"/>
      <w:szCs w:val="32"/>
    </w:rPr>
  </w:style>
  <w:style w:type="character" w:customStyle="1" w:styleId="71">
    <w:name w:val="标题 3 字符"/>
    <w:link w:val="5"/>
    <w:qFormat/>
    <w:uiPriority w:val="0"/>
    <w:rPr>
      <w:rFonts w:ascii="Times New Roman" w:hAnsi="Times New Roman" w:eastAsia="宋体" w:cs="Times New Roman"/>
      <w:b/>
      <w:bCs/>
      <w:sz w:val="32"/>
      <w:szCs w:val="32"/>
    </w:rPr>
  </w:style>
  <w:style w:type="character" w:customStyle="1" w:styleId="72">
    <w:name w:val="标题 4 字符"/>
    <w:link w:val="6"/>
    <w:qFormat/>
    <w:uiPriority w:val="9"/>
    <w:rPr>
      <w:rFonts w:ascii="Calibri Light" w:hAnsi="Calibri Light" w:eastAsia="黑体" w:cs="Times New Roman"/>
      <w:b/>
      <w:bCs/>
      <w:sz w:val="28"/>
      <w:szCs w:val="28"/>
    </w:rPr>
  </w:style>
  <w:style w:type="character" w:customStyle="1" w:styleId="73">
    <w:name w:val="标题 5 字符"/>
    <w:link w:val="7"/>
    <w:qFormat/>
    <w:uiPriority w:val="9"/>
    <w:rPr>
      <w:rFonts w:ascii="Arial" w:hAnsi="Arial" w:eastAsia="Arial" w:cs="Arial"/>
      <w:b/>
      <w:bCs/>
      <w:sz w:val="24"/>
      <w:szCs w:val="24"/>
    </w:rPr>
  </w:style>
  <w:style w:type="character" w:customStyle="1" w:styleId="74">
    <w:name w:val="标题 6 字符"/>
    <w:link w:val="8"/>
    <w:qFormat/>
    <w:uiPriority w:val="9"/>
    <w:rPr>
      <w:rFonts w:ascii="Arial" w:hAnsi="Arial" w:eastAsia="Arial" w:cs="Arial"/>
      <w:b/>
      <w:bCs/>
      <w:sz w:val="22"/>
      <w:szCs w:val="22"/>
    </w:rPr>
  </w:style>
  <w:style w:type="character" w:customStyle="1" w:styleId="75">
    <w:name w:val="标题 7 字符"/>
    <w:link w:val="9"/>
    <w:qFormat/>
    <w:uiPriority w:val="9"/>
    <w:rPr>
      <w:rFonts w:ascii="Arial" w:hAnsi="Arial" w:eastAsia="Arial" w:cs="Arial"/>
      <w:b/>
      <w:bCs/>
      <w:i/>
      <w:iCs/>
      <w:sz w:val="22"/>
      <w:szCs w:val="22"/>
    </w:rPr>
  </w:style>
  <w:style w:type="character" w:customStyle="1" w:styleId="76">
    <w:name w:val="标题 8 字符"/>
    <w:link w:val="10"/>
    <w:qFormat/>
    <w:uiPriority w:val="9"/>
    <w:rPr>
      <w:rFonts w:ascii="Arial" w:hAnsi="Arial" w:eastAsia="Arial" w:cs="Arial"/>
      <w:i/>
      <w:iCs/>
      <w:sz w:val="22"/>
      <w:szCs w:val="22"/>
    </w:rPr>
  </w:style>
  <w:style w:type="character" w:customStyle="1" w:styleId="77">
    <w:name w:val="标题 9 字符"/>
    <w:link w:val="11"/>
    <w:qFormat/>
    <w:uiPriority w:val="9"/>
    <w:rPr>
      <w:rFonts w:ascii="Arial" w:hAnsi="Arial" w:eastAsia="Arial" w:cs="Arial"/>
      <w:i/>
      <w:iCs/>
      <w:sz w:val="21"/>
      <w:szCs w:val="21"/>
    </w:rPr>
  </w:style>
  <w:style w:type="character" w:customStyle="1" w:styleId="78">
    <w:name w:val="批注文字 字符"/>
    <w:link w:val="16"/>
    <w:qFormat/>
    <w:uiPriority w:val="99"/>
    <w:rPr>
      <w:rFonts w:ascii="Calibri" w:hAnsi="Calibri" w:eastAsia="宋体" w:cs="Times New Roman"/>
      <w:sz w:val="21"/>
      <w:szCs w:val="22"/>
    </w:rPr>
  </w:style>
  <w:style w:type="character" w:customStyle="1" w:styleId="79">
    <w:name w:val="正文文本 字符"/>
    <w:link w:val="17"/>
    <w:qFormat/>
    <w:uiPriority w:val="99"/>
    <w:rPr>
      <w:rFonts w:ascii="Times New Roman" w:hAnsi="Times New Roman" w:eastAsia="宋体" w:cs="Times New Roman"/>
      <w:sz w:val="24"/>
      <w:szCs w:val="24"/>
    </w:rPr>
  </w:style>
  <w:style w:type="character" w:customStyle="1" w:styleId="80">
    <w:name w:val="纯文本 字符"/>
    <w:link w:val="22"/>
    <w:qFormat/>
    <w:uiPriority w:val="0"/>
    <w:rPr>
      <w:rFonts w:ascii="宋体" w:hAnsi="Courier New"/>
      <w:sz w:val="21"/>
      <w:szCs w:val="22"/>
    </w:rPr>
  </w:style>
  <w:style w:type="character" w:customStyle="1" w:styleId="81">
    <w:name w:val="日期 字符"/>
    <w:link w:val="24"/>
    <w:qFormat/>
    <w:uiPriority w:val="0"/>
    <w:rPr>
      <w:rFonts w:ascii="Times New Roman" w:hAnsi="Times New Roman" w:eastAsia="宋体" w:cs="Times New Roman"/>
      <w:sz w:val="21"/>
      <w:szCs w:val="24"/>
    </w:rPr>
  </w:style>
  <w:style w:type="character" w:customStyle="1" w:styleId="82">
    <w:name w:val="尾注文本 字符"/>
    <w:link w:val="26"/>
    <w:qFormat/>
    <w:uiPriority w:val="99"/>
    <w:rPr>
      <w:sz w:val="20"/>
    </w:rPr>
  </w:style>
  <w:style w:type="character" w:customStyle="1" w:styleId="83">
    <w:name w:val="批注框文本 字符"/>
    <w:link w:val="27"/>
    <w:semiHidden/>
    <w:qFormat/>
    <w:uiPriority w:val="99"/>
    <w:rPr>
      <w:sz w:val="18"/>
      <w:szCs w:val="18"/>
    </w:rPr>
  </w:style>
  <w:style w:type="character" w:customStyle="1" w:styleId="84">
    <w:name w:val="页脚 字符"/>
    <w:link w:val="28"/>
    <w:qFormat/>
    <w:uiPriority w:val="99"/>
    <w:rPr>
      <w:sz w:val="18"/>
      <w:szCs w:val="18"/>
    </w:rPr>
  </w:style>
  <w:style w:type="character" w:customStyle="1" w:styleId="85">
    <w:name w:val="页眉 字符"/>
    <w:link w:val="30"/>
    <w:qFormat/>
    <w:uiPriority w:val="99"/>
    <w:rPr>
      <w:sz w:val="18"/>
      <w:szCs w:val="18"/>
    </w:rPr>
  </w:style>
  <w:style w:type="character" w:customStyle="1" w:styleId="86">
    <w:name w:val="副标题 字符"/>
    <w:link w:val="33"/>
    <w:qFormat/>
    <w:uiPriority w:val="11"/>
    <w:rPr>
      <w:sz w:val="24"/>
      <w:szCs w:val="24"/>
    </w:rPr>
  </w:style>
  <w:style w:type="character" w:customStyle="1" w:styleId="87">
    <w:name w:val="脚注文本 字符"/>
    <w:link w:val="34"/>
    <w:qFormat/>
    <w:uiPriority w:val="99"/>
    <w:rPr>
      <w:sz w:val="18"/>
    </w:rPr>
  </w:style>
  <w:style w:type="character" w:customStyle="1" w:styleId="88">
    <w:name w:val="HTML 预设格式 字符"/>
    <w:link w:val="39"/>
    <w:qFormat/>
    <w:uiPriority w:val="99"/>
    <w:rPr>
      <w:rFonts w:ascii="Arial" w:hAnsi="Arial" w:eastAsia="宋体" w:cs="Times New Roman"/>
      <w:sz w:val="11"/>
      <w:szCs w:val="11"/>
    </w:rPr>
  </w:style>
  <w:style w:type="character" w:customStyle="1" w:styleId="89">
    <w:name w:val="标题 字符"/>
    <w:link w:val="41"/>
    <w:qFormat/>
    <w:uiPriority w:val="0"/>
    <w:rPr>
      <w:rFonts w:ascii="Cambria" w:hAnsi="Cambria" w:eastAsia="黑体" w:cs="Times New Roman"/>
      <w:b/>
      <w:bCs/>
      <w:sz w:val="52"/>
      <w:szCs w:val="32"/>
    </w:rPr>
  </w:style>
  <w:style w:type="character" w:customStyle="1" w:styleId="90">
    <w:name w:val="批注主题 字符"/>
    <w:link w:val="42"/>
    <w:semiHidden/>
    <w:qFormat/>
    <w:uiPriority w:val="99"/>
    <w:rPr>
      <w:rFonts w:ascii="Calibri" w:hAnsi="Calibri" w:eastAsia="宋体" w:cs="Times New Roman"/>
      <w:b/>
      <w:bCs/>
      <w:sz w:val="21"/>
      <w:szCs w:val="22"/>
    </w:rPr>
  </w:style>
  <w:style w:type="paragraph" w:customStyle="1" w:styleId="91">
    <w:name w:val="正文（缩进）"/>
    <w:basedOn w:val="1"/>
    <w:next w:val="92"/>
    <w:qFormat/>
    <w:uiPriority w:val="0"/>
    <w:pPr>
      <w:spacing w:beforeLines="50" w:afterLines="50" w:line="360" w:lineRule="auto"/>
      <w:ind w:firstLine="480" w:firstLineChars="200"/>
    </w:pPr>
    <w:rPr>
      <w:sz w:val="24"/>
      <w:szCs w:val="24"/>
    </w:rPr>
  </w:style>
  <w:style w:type="paragraph" w:customStyle="1" w:styleId="92">
    <w:name w:val="Char Char Char Char Char Char Char Char Char"/>
    <w:basedOn w:val="1"/>
    <w:next w:val="93"/>
    <w:qFormat/>
    <w:uiPriority w:val="99"/>
    <w:pPr>
      <w:ind w:left="360" w:firstLine="5784"/>
    </w:pPr>
  </w:style>
  <w:style w:type="paragraph" w:customStyle="1" w:styleId="93">
    <w:name w:val="正文文本 21"/>
    <w:basedOn w:val="1"/>
    <w:next w:val="94"/>
    <w:qFormat/>
    <w:uiPriority w:val="99"/>
    <w:pPr>
      <w:widowControl/>
      <w:ind w:left="720" w:firstLine="5680"/>
    </w:pPr>
  </w:style>
  <w:style w:type="paragraph" w:customStyle="1" w:styleId="94">
    <w:name w:val="默认段落字体 Para Char Char Char Char Char Char Char"/>
    <w:basedOn w:val="1"/>
    <w:next w:val="95"/>
    <w:qFormat/>
    <w:uiPriority w:val="99"/>
    <w:pPr>
      <w:ind w:firstLine="200" w:firstLineChars="200"/>
    </w:pPr>
    <w:rPr>
      <w:rFonts w:cs="Arial"/>
    </w:rPr>
  </w:style>
  <w:style w:type="paragraph" w:customStyle="1" w:styleId="95">
    <w:name w:val="样式 首行缩进:  2 字符"/>
    <w:basedOn w:val="1"/>
    <w:next w:val="96"/>
    <w:qFormat/>
    <w:uiPriority w:val="99"/>
    <w:pPr>
      <w:spacing w:line="360" w:lineRule="auto"/>
      <w:ind w:left="480" w:firstLine="5856"/>
    </w:pPr>
  </w:style>
  <w:style w:type="paragraph" w:customStyle="1" w:styleId="96">
    <w:name w:val="样式 段后: 0.25 行"/>
    <w:basedOn w:val="1"/>
    <w:next w:val="97"/>
    <w:qFormat/>
    <w:uiPriority w:val="99"/>
    <w:pPr>
      <w:widowControl/>
      <w:spacing w:line="300" w:lineRule="auto"/>
      <w:ind w:left="420" w:firstLine="5796"/>
    </w:pPr>
  </w:style>
  <w:style w:type="paragraph" w:customStyle="1" w:styleId="97">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8">
    <w:name w:val="Heading 1 Char"/>
    <w:qFormat/>
    <w:uiPriority w:val="9"/>
    <w:rPr>
      <w:rFonts w:ascii="Arial" w:hAnsi="Arial" w:eastAsia="Arial" w:cs="Arial"/>
      <w:sz w:val="40"/>
      <w:szCs w:val="40"/>
    </w:rPr>
  </w:style>
  <w:style w:type="character" w:customStyle="1" w:styleId="99">
    <w:name w:val="Heading 2 Char"/>
    <w:qFormat/>
    <w:uiPriority w:val="9"/>
    <w:rPr>
      <w:rFonts w:ascii="Arial" w:hAnsi="Arial" w:eastAsia="Arial" w:cs="Arial"/>
      <w:sz w:val="34"/>
    </w:rPr>
  </w:style>
  <w:style w:type="character" w:customStyle="1" w:styleId="100">
    <w:name w:val="Heading 3 Char"/>
    <w:qFormat/>
    <w:uiPriority w:val="9"/>
    <w:rPr>
      <w:rFonts w:ascii="Arial" w:hAnsi="Arial" w:eastAsia="Arial" w:cs="Arial"/>
      <w:sz w:val="30"/>
      <w:szCs w:val="30"/>
    </w:rPr>
  </w:style>
  <w:style w:type="character" w:customStyle="1" w:styleId="101">
    <w:name w:val="Heading 4 Char"/>
    <w:qFormat/>
    <w:uiPriority w:val="9"/>
    <w:rPr>
      <w:rFonts w:ascii="Arial" w:hAnsi="Arial" w:eastAsia="Arial" w:cs="Arial"/>
      <w:b/>
      <w:bCs/>
      <w:sz w:val="26"/>
      <w:szCs w:val="26"/>
    </w:rPr>
  </w:style>
  <w:style w:type="character" w:customStyle="1" w:styleId="102">
    <w:name w:val="Title Char"/>
    <w:qFormat/>
    <w:uiPriority w:val="10"/>
    <w:rPr>
      <w:sz w:val="48"/>
      <w:szCs w:val="48"/>
    </w:rPr>
  </w:style>
  <w:style w:type="paragraph" w:customStyle="1" w:styleId="103">
    <w:name w:val="引用1"/>
    <w:basedOn w:val="1"/>
    <w:next w:val="1"/>
    <w:link w:val="104"/>
    <w:qFormat/>
    <w:uiPriority w:val="29"/>
    <w:pPr>
      <w:ind w:left="720" w:right="720"/>
    </w:pPr>
    <w:rPr>
      <w:i/>
    </w:rPr>
  </w:style>
  <w:style w:type="character" w:customStyle="1" w:styleId="104">
    <w:name w:val="引用 Char"/>
    <w:link w:val="103"/>
    <w:qFormat/>
    <w:uiPriority w:val="29"/>
    <w:rPr>
      <w:i/>
    </w:rPr>
  </w:style>
  <w:style w:type="paragraph" w:customStyle="1" w:styleId="105">
    <w:name w:val="明显引用1"/>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Header Char"/>
    <w:qFormat/>
    <w:uiPriority w:val="99"/>
  </w:style>
  <w:style w:type="character" w:customStyle="1" w:styleId="108">
    <w:name w:val="Footer Char"/>
    <w:qFormat/>
    <w:uiPriority w:val="99"/>
  </w:style>
  <w:style w:type="character" w:customStyle="1" w:styleId="109">
    <w:name w:val="Caption Char"/>
    <w:qFormat/>
    <w:uiPriority w:val="99"/>
  </w:style>
  <w:style w:type="table" w:customStyle="1" w:styleId="110">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1">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2">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3">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5">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6">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7">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8">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9">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20">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21">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2">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3">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4">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5">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6">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7">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8">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9">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0">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1">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2">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3">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4">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5">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6">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7">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8">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9">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40">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41">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2">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3">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4">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5">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6">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7">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8">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9">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50">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1">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2">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3">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4">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5">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6">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7">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8">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9">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60">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61">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2">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3">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4">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5">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6">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7">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8">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9">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70">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71">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2">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3">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4">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5">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6">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7">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8">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9">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80">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81">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2">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3">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4">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5">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6">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7">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8">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9">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90">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91">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2">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3">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4">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5">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6">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7">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8">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9">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200">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01">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2">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3">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4">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5">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6">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7">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8">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9">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10">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11">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2">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3">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4">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5">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6">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7">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8">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9">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0">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1">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2">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3">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4">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5">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6">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7">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8">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9">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30">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31">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2">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3">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4">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5">
    <w:name w:val="TOC 标题1"/>
    <w:unhideWhenUsed/>
    <w:qFormat/>
    <w:uiPriority w:val="39"/>
    <w:rPr>
      <w:rFonts w:ascii="Times New Roman" w:hAnsi="Times New Roman" w:eastAsia="宋体" w:cs="Times New Roman"/>
      <w:lang w:val="en-US" w:eastAsia="zh-CN" w:bidi="ar-SA"/>
    </w:rPr>
  </w:style>
  <w:style w:type="paragraph" w:customStyle="1" w:styleId="236">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7">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8">
    <w:name w:val="正文2"/>
    <w:basedOn w:val="1"/>
    <w:link w:val="239"/>
    <w:qFormat/>
    <w:uiPriority w:val="99"/>
    <w:pPr>
      <w:spacing w:line="360" w:lineRule="auto"/>
      <w:ind w:firstLine="420"/>
    </w:pPr>
    <w:rPr>
      <w:rFonts w:ascii="宋体" w:hAnsi="宋体" w:cs="宋体"/>
      <w:color w:val="000000"/>
      <w:szCs w:val="21"/>
    </w:rPr>
  </w:style>
  <w:style w:type="character" w:customStyle="1" w:styleId="239">
    <w:name w:val="正文2 Char Char"/>
    <w:link w:val="238"/>
    <w:qFormat/>
    <w:uiPriority w:val="99"/>
    <w:rPr>
      <w:rFonts w:ascii="宋体" w:hAnsi="宋体" w:eastAsia="宋体" w:cs="宋体"/>
      <w:color w:val="000000"/>
      <w:sz w:val="21"/>
      <w:szCs w:val="21"/>
    </w:rPr>
  </w:style>
  <w:style w:type="paragraph" w:customStyle="1" w:styleId="240">
    <w:name w:val="Table Paragraph"/>
    <w:basedOn w:val="1"/>
    <w:qFormat/>
    <w:uiPriority w:val="1"/>
    <w:pPr>
      <w:jc w:val="left"/>
    </w:pPr>
    <w:rPr>
      <w:rFonts w:ascii="宋体" w:hAnsi="宋体" w:cs="宋体"/>
      <w:sz w:val="22"/>
      <w:lang w:val="zh-CN" w:bidi="zh-CN"/>
    </w:rPr>
  </w:style>
  <w:style w:type="paragraph" w:customStyle="1" w:styleId="241">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2">
    <w:name w:val="p21"/>
    <w:qFormat/>
    <w:uiPriority w:val="0"/>
    <w:rPr>
      <w:sz w:val="9"/>
      <w:szCs w:val="9"/>
    </w:rPr>
  </w:style>
  <w:style w:type="paragraph" w:customStyle="1" w:styleId="243">
    <w:name w:val="t_black_12_b"/>
    <w:basedOn w:val="1"/>
    <w:qFormat/>
    <w:uiPriority w:val="0"/>
    <w:pPr>
      <w:widowControl/>
      <w:jc w:val="left"/>
    </w:pPr>
    <w:rPr>
      <w:rFonts w:ascii="宋体" w:hAnsi="宋体" w:cs="宋体"/>
      <w:b/>
      <w:bCs/>
      <w:color w:val="212121"/>
      <w:sz w:val="9"/>
      <w:szCs w:val="9"/>
    </w:rPr>
  </w:style>
  <w:style w:type="paragraph" w:customStyle="1" w:styleId="244">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5">
    <w:name w:val="标题3"/>
    <w:basedOn w:val="1"/>
    <w:link w:val="246"/>
    <w:qFormat/>
    <w:uiPriority w:val="0"/>
    <w:pPr>
      <w:pageBreakBefore/>
      <w:jc w:val="center"/>
      <w:outlineLvl w:val="2"/>
    </w:pPr>
    <w:rPr>
      <w:rFonts w:ascii="黑体" w:hAnsi="黑体" w:eastAsia="黑体"/>
      <w:b/>
      <w:sz w:val="32"/>
      <w:szCs w:val="32"/>
    </w:rPr>
  </w:style>
  <w:style w:type="character" w:customStyle="1" w:styleId="246">
    <w:name w:val="标题3 Char"/>
    <w:link w:val="245"/>
    <w:qFormat/>
    <w:uiPriority w:val="0"/>
    <w:rPr>
      <w:rFonts w:ascii="黑体" w:hAnsi="黑体" w:eastAsia="黑体" w:cs="Times New Roman"/>
      <w:b/>
      <w:sz w:val="32"/>
      <w:szCs w:val="32"/>
    </w:rPr>
  </w:style>
  <w:style w:type="paragraph" w:customStyle="1" w:styleId="247">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8">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9">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2">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3">
    <w:name w:val="修订1"/>
    <w:unhideWhenUsed/>
    <w:qFormat/>
    <w:uiPriority w:val="99"/>
    <w:rPr>
      <w:rFonts w:ascii="Calibri" w:hAnsi="Calibri" w:eastAsia="宋体" w:cs="Times New Roman"/>
      <w:sz w:val="21"/>
      <w:szCs w:val="22"/>
      <w:lang w:val="en-US" w:eastAsia="zh-CN" w:bidi="ar-SA"/>
    </w:rPr>
  </w:style>
  <w:style w:type="paragraph" w:customStyle="1" w:styleId="254">
    <w:name w:val="BodyText"/>
    <w:basedOn w:val="1"/>
    <w:qFormat/>
    <w:uiPriority w:val="0"/>
    <w:pPr>
      <w:spacing w:after="120"/>
    </w:pPr>
    <w:rPr>
      <w:rFonts w:hAnsi="Times New Roman"/>
      <w:sz w:val="20"/>
      <w:szCs w:val="20"/>
    </w:rPr>
  </w:style>
  <w:style w:type="table" w:customStyle="1" w:styleId="255">
    <w:name w:val="Table Normal"/>
    <w:basedOn w:val="45"/>
    <w:semiHidden/>
    <w:qFormat/>
    <w:uiPriority w:val="2"/>
    <w:tblPr>
      <w:tblCellMar>
        <w:left w:w="0" w:type="dxa"/>
        <w:right w:w="0" w:type="dxa"/>
      </w:tblCellMar>
    </w:tblPr>
  </w:style>
  <w:style w:type="paragraph" w:customStyle="1" w:styleId="256">
    <w:name w:val="列出段落11"/>
    <w:basedOn w:val="1"/>
    <w:qFormat/>
    <w:uiPriority w:val="99"/>
    <w:pPr>
      <w:ind w:firstLine="420"/>
    </w:pPr>
    <w:rPr>
      <w:rFonts w:ascii="Times New Roman" w:hAnsi="Times New Roman"/>
      <w:szCs w:val="24"/>
    </w:rPr>
  </w:style>
  <w:style w:type="paragraph" w:customStyle="1" w:styleId="257">
    <w:name w:val="hk正文"/>
    <w:basedOn w:val="1"/>
    <w:qFormat/>
    <w:uiPriority w:val="0"/>
    <w:pPr>
      <w:spacing w:line="440" w:lineRule="exact"/>
      <w:ind w:firstLine="560"/>
    </w:pPr>
    <w:rPr>
      <w:rFonts w:ascii="Arial" w:hAnsi="Arial" w:cs="宋体"/>
      <w:szCs w:val="28"/>
    </w:rPr>
  </w:style>
  <w:style w:type="paragraph" w:customStyle="1" w:styleId="258">
    <w:name w:val="首行缩进"/>
    <w:basedOn w:val="1"/>
    <w:qFormat/>
    <w:uiPriority w:val="0"/>
    <w:pPr>
      <w:ind w:firstLine="480"/>
    </w:pPr>
    <w:rPr>
      <w:rFonts w:eastAsia="楷体_GB2312"/>
      <w:sz w:val="26"/>
      <w:lang w:val="zh-CN"/>
    </w:rPr>
  </w:style>
  <w:style w:type="paragraph" w:customStyle="1" w:styleId="259">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60">
    <w:name w:val="Table Text"/>
    <w:basedOn w:val="1"/>
    <w:semiHidden/>
    <w:qFormat/>
    <w:uiPriority w:val="0"/>
    <w:rPr>
      <w:rFonts w:ascii="Arial" w:hAnsi="Arial" w:eastAsia="Arial" w:cs="Arial"/>
      <w:szCs w:val="21"/>
      <w:lang w:eastAsia="en-US"/>
    </w:rPr>
  </w:style>
  <w:style w:type="paragraph" w:customStyle="1" w:styleId="261">
    <w:name w:val="列表段落1"/>
    <w:basedOn w:val="1"/>
    <w:qFormat/>
    <w:uiPriority w:val="34"/>
    <w:pPr>
      <w:ind w:left="223" w:firstLine="420"/>
    </w:pPr>
  </w:style>
  <w:style w:type="paragraph" w:customStyle="1" w:styleId="262">
    <w:name w:val="修订2"/>
    <w:hidden/>
    <w:unhideWhenUsed/>
    <w:qFormat/>
    <w:uiPriority w:val="99"/>
    <w:rPr>
      <w:rFonts w:ascii="Calibri" w:hAnsi="Calibri" w:eastAsia="宋体" w:cs="Times New Roman"/>
      <w:sz w:val="21"/>
      <w:szCs w:val="22"/>
      <w:lang w:val="en-US" w:eastAsia="zh-CN" w:bidi="ar-SA"/>
    </w:rPr>
  </w:style>
  <w:style w:type="paragraph" w:customStyle="1" w:styleId="263">
    <w:name w:val="修订3"/>
    <w:hidden/>
    <w:unhideWhenUsed/>
    <w:qFormat/>
    <w:uiPriority w:val="99"/>
    <w:rPr>
      <w:rFonts w:ascii="Calibri" w:hAnsi="Calibri" w:eastAsia="宋体" w:cs="Times New Roman"/>
      <w:sz w:val="21"/>
      <w:szCs w:val="22"/>
      <w:lang w:val="en-US" w:eastAsia="zh-CN" w:bidi="ar-SA"/>
    </w:rPr>
  </w:style>
  <w:style w:type="paragraph" w:customStyle="1" w:styleId="264">
    <w:name w:val="修订4"/>
    <w:hidden/>
    <w:unhideWhenUsed/>
    <w:qFormat/>
    <w:uiPriority w:val="99"/>
    <w:rPr>
      <w:rFonts w:ascii="Calibri" w:hAnsi="Calibri" w:eastAsia="宋体" w:cs="Times New Roman"/>
      <w:sz w:val="21"/>
      <w:szCs w:val="22"/>
      <w:lang w:val="en-US" w:eastAsia="zh-CN" w:bidi="ar-SA"/>
    </w:rPr>
  </w:style>
  <w:style w:type="paragraph" w:customStyle="1" w:styleId="265">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6">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7">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8">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9">
    <w:name w:val="着重标题"/>
    <w:qFormat/>
    <w:uiPriority w:val="0"/>
    <w:rPr>
      <w:rFonts w:ascii="Calibri" w:hAnsi="Calibri"/>
      <w:b/>
      <w:sz w:val="24"/>
    </w:rPr>
  </w:style>
  <w:style w:type="paragraph" w:customStyle="1" w:styleId="270">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71">
    <w:name w:val="标题 61"/>
    <w:basedOn w:val="1"/>
    <w:qFormat/>
    <w:uiPriority w:val="1"/>
    <w:pPr>
      <w:ind w:left="680"/>
      <w:outlineLvl w:val="6"/>
    </w:pPr>
    <w:rPr>
      <w:sz w:val="24"/>
      <w:szCs w:val="24"/>
    </w:rPr>
  </w:style>
  <w:style w:type="paragraph" w:customStyle="1" w:styleId="272">
    <w:name w:val="标题 51"/>
    <w:basedOn w:val="1"/>
    <w:qFormat/>
    <w:uiPriority w:val="1"/>
    <w:pPr>
      <w:spacing w:before="3"/>
      <w:ind w:left="680"/>
      <w:outlineLvl w:val="5"/>
    </w:pPr>
    <w:rPr>
      <w:b/>
      <w:bCs/>
      <w:sz w:val="24"/>
      <w:szCs w:val="24"/>
    </w:rPr>
  </w:style>
  <w:style w:type="paragraph" w:customStyle="1" w:styleId="273">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4">
    <w:name w:val="NormalCharacter1"/>
    <w:semiHidden/>
    <w:qFormat/>
    <w:uiPriority w:val="0"/>
    <w:rPr>
      <w:rFonts w:ascii="Calibri" w:hAnsi="Calibri" w:eastAsia="宋体" w:cs="Times New Roman"/>
      <w:sz w:val="21"/>
      <w:szCs w:val="22"/>
      <w:lang w:val="en-US" w:eastAsia="zh-CN" w:bidi="ar-SA"/>
    </w:rPr>
  </w:style>
  <w:style w:type="character" w:customStyle="1" w:styleId="275">
    <w:name w:val="批注文字 字符1"/>
    <w:qFormat/>
    <w:uiPriority w:val="99"/>
    <w:rPr>
      <w:kern w:val="2"/>
      <w:sz w:val="21"/>
      <w:szCs w:val="24"/>
    </w:rPr>
  </w:style>
  <w:style w:type="paragraph" w:customStyle="1" w:styleId="276">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7">
    <w:name w:val="No Spacing"/>
    <w:qFormat/>
    <w:uiPriority w:val="99"/>
    <w:pPr>
      <w:widowControl w:val="0"/>
      <w:jc w:val="both"/>
    </w:pPr>
    <w:rPr>
      <w:rFonts w:ascii="Calibri" w:hAnsi="Calibri" w:eastAsia="宋体" w:cs="Times New Roman"/>
      <w:kern w:val="2"/>
      <w:sz w:val="24"/>
      <w:szCs w:val="22"/>
      <w:lang w:val="en-US" w:eastAsia="zh-CN" w:bidi="ar-SA"/>
    </w:rPr>
  </w:style>
  <w:style w:type="character" w:customStyle="1" w:styleId="278">
    <w:name w:val="正文文本首行缩进 字符"/>
    <w:basedOn w:val="79"/>
    <w:link w:val="43"/>
    <w:qFormat/>
    <w:uiPriority w:val="0"/>
    <w:rPr>
      <w:rFonts w:asciiTheme="minorHAnsi" w:hAnsiTheme="minorHAnsi" w:eastAsiaTheme="minorEastAsia" w:cstheme="minorBidi"/>
      <w:kern w:val="2"/>
      <w:sz w:val="21"/>
      <w:szCs w:val="24"/>
    </w:rPr>
  </w:style>
  <w:style w:type="character" w:customStyle="1" w:styleId="279">
    <w:name w:val="列表段落 字符"/>
    <w:link w:val="3"/>
    <w:qFormat/>
    <w:uiPriority w:val="99"/>
    <w:rPr>
      <w:rFonts w:ascii="Calibri" w:hAnsi="Calibri"/>
      <w:sz w:val="21"/>
      <w:szCs w:val="22"/>
    </w:rPr>
  </w:style>
  <w:style w:type="character" w:customStyle="1" w:styleId="280">
    <w:name w:val="Michael-正文 字符"/>
    <w:basedOn w:val="47"/>
    <w:link w:val="281"/>
    <w:qFormat/>
    <w:uiPriority w:val="0"/>
    <w:rPr>
      <w:rFonts w:ascii="Calibri" w:hAnsi="Calibri" w:eastAsia="微软雅黑" w:cs="Calibri"/>
    </w:rPr>
  </w:style>
  <w:style w:type="paragraph" w:customStyle="1" w:styleId="281">
    <w:name w:val="Michael-正文"/>
    <w:basedOn w:val="1"/>
    <w:link w:val="280"/>
    <w:qFormat/>
    <w:uiPriority w:val="0"/>
    <w:pPr>
      <w:adjustRightInd w:val="0"/>
    </w:pPr>
    <w:rPr>
      <w:rFonts w:eastAsia="微软雅黑" w:cs="Calibri"/>
      <w:sz w:val="20"/>
      <w:szCs w:val="20"/>
    </w:rPr>
  </w:style>
  <w:style w:type="paragraph" w:customStyle="1" w:styleId="282">
    <w:name w:val="修订5"/>
    <w:hidden/>
    <w:unhideWhenUsed/>
    <w:qFormat/>
    <w:uiPriority w:val="99"/>
    <w:rPr>
      <w:rFonts w:ascii="Calibri" w:hAnsi="Calibri" w:eastAsia="宋体" w:cs="Times New Roman"/>
      <w:sz w:val="21"/>
      <w:szCs w:val="22"/>
      <w:lang w:val="en-US" w:eastAsia="zh-CN" w:bidi="ar-SA"/>
    </w:rPr>
  </w:style>
  <w:style w:type="paragraph" w:customStyle="1" w:styleId="283">
    <w:name w:val="修订6"/>
    <w:hidden/>
    <w:unhideWhenUsed/>
    <w:qFormat/>
    <w:uiPriority w:val="99"/>
    <w:rPr>
      <w:rFonts w:ascii="Calibri" w:hAnsi="Calibri" w:eastAsia="宋体" w:cs="Times New Roman"/>
      <w:sz w:val="21"/>
      <w:szCs w:val="22"/>
      <w:lang w:val="en-US" w:eastAsia="zh-CN" w:bidi="ar-SA"/>
    </w:rPr>
  </w:style>
  <w:style w:type="character" w:customStyle="1" w:styleId="284">
    <w:name w:val="未处理的提及1"/>
    <w:basedOn w:val="47"/>
    <w:semiHidden/>
    <w:unhideWhenUsed/>
    <w:qFormat/>
    <w:uiPriority w:val="99"/>
    <w:rPr>
      <w:color w:val="605E5C"/>
      <w:shd w:val="clear" w:color="auto" w:fill="E1DFDD"/>
    </w:rPr>
  </w:style>
  <w:style w:type="paragraph" w:customStyle="1" w:styleId="285">
    <w:name w:val="修订7"/>
    <w:hidden/>
    <w:unhideWhenUsed/>
    <w:qFormat/>
    <w:uiPriority w:val="99"/>
    <w:rPr>
      <w:rFonts w:ascii="Calibri" w:hAnsi="Calibri" w:eastAsia="宋体" w:cs="Times New Roman"/>
      <w:sz w:val="21"/>
      <w:szCs w:val="22"/>
      <w:lang w:val="en-US" w:eastAsia="zh-CN" w:bidi="ar-SA"/>
    </w:rPr>
  </w:style>
  <w:style w:type="character" w:customStyle="1" w:styleId="286">
    <w:name w:val="font11"/>
    <w:basedOn w:val="47"/>
    <w:qFormat/>
    <w:uiPriority w:val="0"/>
    <w:rPr>
      <w:rFonts w:hint="eastAsia" w:ascii="宋体" w:hAnsi="宋体" w:eastAsia="宋体" w:cs="宋体"/>
      <w:b/>
      <w:bCs/>
      <w:color w:val="000000"/>
      <w:sz w:val="21"/>
      <w:szCs w:val="21"/>
      <w:u w:val="none"/>
    </w:rPr>
  </w:style>
  <w:style w:type="character" w:customStyle="1" w:styleId="287">
    <w:name w:val="font21"/>
    <w:basedOn w:val="47"/>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43</Pages>
  <Words>11253</Words>
  <Characters>11805</Characters>
  <Lines>173</Lines>
  <Paragraphs>48</Paragraphs>
  <TotalTime>118</TotalTime>
  <ScaleCrop>false</ScaleCrop>
  <LinksUpToDate>false</LinksUpToDate>
  <CharactersWithSpaces>11834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2026-07-13T05:54:00Z</dcterms:created>
  <dc:creator>Administrator</dc:creator>
  <cp:lastModifiedBy>盼盼</cp:lastModifiedBy>
  <cp:lastPrinted>2026-07-28T07:14:00Z</cp:lastPrinted>
  <dcterms:modified xsi:type="dcterms:W3CDTF">2026-07-30T02:10:17Z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979436B8BEE6470CA24F568C18DA989C_13</vt:lpwstr>
  </property>
  <property fmtid="{D5CDD505-2E9C-101B-9397-08002B2CF9AE}" pid="4" name="KSOTemplateDocerSaveRecord">
    <vt:lpwstr>eyJoZGlkIjoiMzEwNTM5NzYwMDRjMzkwZTVkZjY2ODkwMGIxNGU0OTUiLCJ1c2VySWQiOiI2MDE4NjQ0NjIifQ==</vt:lpwstr>
  </property>
</Properties>
</file>