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2CA00">
      <w:pPr>
        <w:spacing w:before="19"/>
        <w:ind w:left="-358" w:right="-334" w:hanging="177"/>
        <w:rPr>
          <w:rFonts w:hint="eastAsia" w:ascii="宋体" w:hAnsi="宋体" w:eastAsia="宋体" w:cs="宋体"/>
          <w:b/>
          <w:sz w:val="32"/>
          <w:szCs w:val="21"/>
        </w:rPr>
      </w:pPr>
      <w:r>
        <w:rPr>
          <w:rFonts w:hint="eastAsia" w:ascii="宋体" w:hAnsi="宋体" w:eastAsia="宋体" w:cs="宋体"/>
          <w:sz w:val="22"/>
          <w:szCs w:val="21"/>
        </w:rPr>
        <w:t>合同编号：</w:t>
      </w:r>
    </w:p>
    <w:p w14:paraId="38F525C6">
      <w:pPr>
        <w:spacing w:before="19"/>
        <w:ind w:left="-432" w:right="-334" w:hanging="103"/>
        <w:jc w:val="center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南京邮电大学采购合同（国内货物类）</w:t>
      </w:r>
    </w:p>
    <w:p w14:paraId="0D53BFE7">
      <w:pPr>
        <w:spacing w:line="240" w:lineRule="atLeast"/>
        <w:rPr>
          <w:rFonts w:hint="eastAsia" w:ascii="仿宋_GB2312"/>
          <w:szCs w:val="21"/>
        </w:rPr>
      </w:pPr>
    </w:p>
    <w:p w14:paraId="25589484">
      <w:pPr>
        <w:spacing w:line="240" w:lineRule="atLeas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甲方：南京邮电大学                             签订地点：南京邮电大学</w:t>
      </w:r>
    </w:p>
    <w:p w14:paraId="2E2892D0">
      <w:pPr>
        <w:spacing w:before="19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乙方：杭州捷烁教育科技有限公司                              </w:t>
      </w:r>
    </w:p>
    <w:p w14:paraId="3743A84F">
      <w:pPr>
        <w:spacing w:before="19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    甲乙双方根据</w:t>
      </w:r>
      <w:r>
        <w:rPr>
          <w:rFonts w:hint="eastAsia" w:ascii="宋体" w:hAnsi="宋体" w:eastAsia="宋体" w:cs="宋体"/>
          <w:szCs w:val="21"/>
          <w:u w:val="single"/>
        </w:rPr>
        <w:t xml:space="preserve">  南京邮电大学工程实验教学部工业机器人装备实训平台 </w:t>
      </w:r>
      <w:r>
        <w:rPr>
          <w:rFonts w:hint="eastAsia" w:ascii="宋体" w:hAnsi="宋体" w:eastAsia="宋体" w:cs="宋体"/>
          <w:szCs w:val="21"/>
        </w:rPr>
        <w:t>项目招标采购结果,依据《中华人民共和国民法典》及相关法律规定，达成如下货物购销合同:</w:t>
      </w:r>
    </w:p>
    <w:p w14:paraId="03599BCA">
      <w:pPr>
        <w:spacing w:before="19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一、货物及其数量、金额：</w:t>
      </w:r>
    </w:p>
    <w:tbl>
      <w:tblPr>
        <w:tblStyle w:val="2"/>
        <w:tblW w:w="9417" w:type="dxa"/>
        <w:jc w:val="center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"/>
        <w:gridCol w:w="3809"/>
        <w:gridCol w:w="1765"/>
        <w:gridCol w:w="1046"/>
        <w:gridCol w:w="1046"/>
        <w:gridCol w:w="1221"/>
      </w:tblGrid>
      <w:tr w14:paraId="33F5A63B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530" w:type="dxa"/>
            <w:shd w:val="pct10" w:color="auto" w:fill="FFFFFF"/>
            <w:noWrap w:val="0"/>
            <w:vAlign w:val="center"/>
          </w:tcPr>
          <w:p w14:paraId="57C1EEBD">
            <w:pPr>
              <w:spacing w:line="240" w:lineRule="atLeast"/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编号</w:t>
            </w:r>
          </w:p>
        </w:tc>
        <w:tc>
          <w:tcPr>
            <w:tcW w:w="3809" w:type="dxa"/>
            <w:shd w:val="pct10" w:color="auto" w:fill="FFFFFF"/>
            <w:noWrap w:val="0"/>
            <w:vAlign w:val="center"/>
          </w:tcPr>
          <w:p w14:paraId="31E8E280">
            <w:pPr>
              <w:spacing w:line="240" w:lineRule="atLeast"/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货物名称</w:t>
            </w:r>
          </w:p>
        </w:tc>
        <w:tc>
          <w:tcPr>
            <w:tcW w:w="1765" w:type="dxa"/>
            <w:shd w:val="pct10" w:color="auto" w:fill="FFFFFF"/>
            <w:noWrap w:val="0"/>
            <w:vAlign w:val="center"/>
          </w:tcPr>
          <w:p w14:paraId="0AB5BF1C">
            <w:pPr>
              <w:spacing w:line="240" w:lineRule="atLeast"/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规 格 型 号（品牌）</w:t>
            </w:r>
          </w:p>
        </w:tc>
        <w:tc>
          <w:tcPr>
            <w:tcW w:w="1046" w:type="dxa"/>
            <w:shd w:val="pct10" w:color="auto" w:fill="FFFFFF"/>
            <w:noWrap w:val="0"/>
            <w:vAlign w:val="center"/>
          </w:tcPr>
          <w:p w14:paraId="58A5ECFD">
            <w:pPr>
              <w:spacing w:line="240" w:lineRule="atLeast"/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数量</w:t>
            </w:r>
          </w:p>
        </w:tc>
        <w:tc>
          <w:tcPr>
            <w:tcW w:w="1046" w:type="dxa"/>
            <w:shd w:val="pct10" w:color="auto" w:fill="FFFFFF"/>
            <w:noWrap w:val="0"/>
            <w:vAlign w:val="center"/>
          </w:tcPr>
          <w:p w14:paraId="6DD8FB38">
            <w:pPr>
              <w:spacing w:line="240" w:lineRule="atLeast"/>
              <w:jc w:val="center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单价（元）</w:t>
            </w:r>
          </w:p>
        </w:tc>
        <w:tc>
          <w:tcPr>
            <w:tcW w:w="1221" w:type="dxa"/>
            <w:shd w:val="pct10" w:color="auto" w:fill="FFFFFF"/>
            <w:noWrap w:val="0"/>
            <w:vAlign w:val="center"/>
          </w:tcPr>
          <w:p w14:paraId="58FA6FB3">
            <w:pPr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总价（元）</w:t>
            </w:r>
          </w:p>
        </w:tc>
      </w:tr>
      <w:tr w14:paraId="122C3017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530" w:type="dxa"/>
            <w:noWrap w:val="0"/>
            <w:vAlign w:val="center"/>
          </w:tcPr>
          <w:p w14:paraId="16116BE6">
            <w:pPr>
              <w:spacing w:line="600" w:lineRule="atLeast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1</w:t>
            </w:r>
          </w:p>
        </w:tc>
        <w:tc>
          <w:tcPr>
            <w:tcW w:w="3809" w:type="dxa"/>
            <w:noWrap w:val="0"/>
            <w:vAlign w:val="center"/>
          </w:tcPr>
          <w:p w14:paraId="3581908A">
            <w:pPr>
              <w:spacing w:line="600" w:lineRule="atLeast"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多功能协作机器人通用实训平台</w:t>
            </w:r>
          </w:p>
        </w:tc>
        <w:tc>
          <w:tcPr>
            <w:tcW w:w="1765" w:type="dxa"/>
            <w:noWrap w:val="0"/>
            <w:vAlign w:val="center"/>
          </w:tcPr>
          <w:p w14:paraId="34556BB9"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越疆DT-TY-V-CR</w:t>
            </w:r>
          </w:p>
        </w:tc>
        <w:tc>
          <w:tcPr>
            <w:tcW w:w="1046" w:type="dxa"/>
            <w:noWrap w:val="0"/>
            <w:vAlign w:val="center"/>
          </w:tcPr>
          <w:p w14:paraId="0768F9A4">
            <w:pPr>
              <w:spacing w:line="600" w:lineRule="atLeast"/>
              <w:ind w:firstLine="103"/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1</w:t>
            </w:r>
          </w:p>
        </w:tc>
        <w:tc>
          <w:tcPr>
            <w:tcW w:w="1046" w:type="dxa"/>
            <w:noWrap w:val="0"/>
            <w:vAlign w:val="center"/>
          </w:tcPr>
          <w:p w14:paraId="7366500A">
            <w:pPr>
              <w:spacing w:line="240" w:lineRule="atLeast"/>
              <w:jc w:val="center"/>
              <w:rPr>
                <w:rFonts w:hint="default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501000</w:t>
            </w:r>
          </w:p>
        </w:tc>
        <w:tc>
          <w:tcPr>
            <w:tcW w:w="1221" w:type="dxa"/>
            <w:noWrap w:val="0"/>
            <w:vAlign w:val="center"/>
          </w:tcPr>
          <w:p w14:paraId="5DA7BA64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501000</w:t>
            </w:r>
          </w:p>
        </w:tc>
      </w:tr>
      <w:tr w14:paraId="5D00D120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30" w:type="dxa"/>
            <w:noWrap w:val="0"/>
            <w:vAlign w:val="center"/>
          </w:tcPr>
          <w:p w14:paraId="1173B152">
            <w:pPr>
              <w:spacing w:line="600" w:lineRule="atLeast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2</w:t>
            </w:r>
          </w:p>
        </w:tc>
        <w:tc>
          <w:tcPr>
            <w:tcW w:w="3809" w:type="dxa"/>
            <w:noWrap w:val="0"/>
            <w:vAlign w:val="center"/>
          </w:tcPr>
          <w:p w14:paraId="75146B7B">
            <w:pPr>
              <w:spacing w:line="600" w:lineRule="atLeast"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模块化智能机器人与数据驱动应用平台</w:t>
            </w:r>
          </w:p>
        </w:tc>
        <w:tc>
          <w:tcPr>
            <w:tcW w:w="1765" w:type="dxa"/>
            <w:noWrap w:val="0"/>
            <w:vAlign w:val="center"/>
          </w:tcPr>
          <w:p w14:paraId="331B33BB">
            <w:pPr>
              <w:spacing w:line="360" w:lineRule="auto"/>
              <w:rPr>
                <w:rFonts w:hint="default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越疆DT-ES-05-C</w:t>
            </w:r>
          </w:p>
        </w:tc>
        <w:tc>
          <w:tcPr>
            <w:tcW w:w="1046" w:type="dxa"/>
            <w:noWrap w:val="0"/>
            <w:vAlign w:val="center"/>
          </w:tcPr>
          <w:p w14:paraId="26A49E3A">
            <w:pPr>
              <w:spacing w:line="600" w:lineRule="atLeast"/>
              <w:ind w:firstLine="103"/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1</w:t>
            </w:r>
          </w:p>
        </w:tc>
        <w:tc>
          <w:tcPr>
            <w:tcW w:w="1046" w:type="dxa"/>
            <w:noWrap w:val="0"/>
            <w:vAlign w:val="center"/>
          </w:tcPr>
          <w:p w14:paraId="3D35E338">
            <w:pPr>
              <w:spacing w:line="600" w:lineRule="atLeast"/>
              <w:ind w:firstLine="103"/>
              <w:rPr>
                <w:rFonts w:hint="default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502000</w:t>
            </w:r>
          </w:p>
        </w:tc>
        <w:tc>
          <w:tcPr>
            <w:tcW w:w="1221" w:type="dxa"/>
            <w:noWrap w:val="0"/>
            <w:vAlign w:val="center"/>
          </w:tcPr>
          <w:p w14:paraId="3C4AF092">
            <w:pPr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502000</w:t>
            </w:r>
          </w:p>
        </w:tc>
      </w:tr>
      <w:tr w14:paraId="22AB3DEB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30" w:type="dxa"/>
            <w:noWrap w:val="0"/>
            <w:vAlign w:val="center"/>
          </w:tcPr>
          <w:p w14:paraId="01DE5FAA">
            <w:pPr>
              <w:spacing w:line="600" w:lineRule="atLeast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3</w:t>
            </w:r>
          </w:p>
        </w:tc>
        <w:tc>
          <w:tcPr>
            <w:tcW w:w="3809" w:type="dxa"/>
            <w:noWrap w:val="0"/>
            <w:vAlign w:val="center"/>
          </w:tcPr>
          <w:p w14:paraId="27716C89">
            <w:pPr>
              <w:spacing w:line="600" w:lineRule="atLeast"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双臂多模态运动感知</w:t>
            </w:r>
            <w:r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  <w:t>机器人</w:t>
            </w:r>
            <w:r>
              <w:rPr>
                <w:rFonts w:hint="eastAsia" w:ascii="宋体" w:hAnsi="宋体" w:eastAsia="宋体" w:cs="宋体"/>
                <w:szCs w:val="21"/>
              </w:rPr>
              <w:t>实验平台</w:t>
            </w:r>
          </w:p>
        </w:tc>
        <w:tc>
          <w:tcPr>
            <w:tcW w:w="1765" w:type="dxa"/>
            <w:noWrap w:val="0"/>
            <w:vAlign w:val="center"/>
          </w:tcPr>
          <w:p w14:paraId="378C2170">
            <w:pPr>
              <w:spacing w:line="360" w:lineRule="auto"/>
              <w:rPr>
                <w:rFonts w:hint="default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越疆DT-XT-FB01</w:t>
            </w:r>
          </w:p>
        </w:tc>
        <w:tc>
          <w:tcPr>
            <w:tcW w:w="1046" w:type="dxa"/>
            <w:noWrap w:val="0"/>
            <w:vAlign w:val="center"/>
          </w:tcPr>
          <w:p w14:paraId="0DF76C20">
            <w:pPr>
              <w:spacing w:line="600" w:lineRule="atLeast"/>
              <w:ind w:firstLine="103"/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1</w:t>
            </w:r>
          </w:p>
        </w:tc>
        <w:tc>
          <w:tcPr>
            <w:tcW w:w="1046" w:type="dxa"/>
            <w:noWrap w:val="0"/>
            <w:vAlign w:val="center"/>
          </w:tcPr>
          <w:p w14:paraId="5DE05C86">
            <w:pPr>
              <w:spacing w:line="600" w:lineRule="atLeast"/>
              <w:ind w:firstLine="103"/>
              <w:rPr>
                <w:rFonts w:hint="default" w:ascii="宋体" w:hAnsi="宋体" w:eastAsia="宋体" w:cs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val="en-US" w:eastAsia="zh-CN"/>
              </w:rPr>
              <w:t>553000</w:t>
            </w:r>
          </w:p>
        </w:tc>
        <w:tc>
          <w:tcPr>
            <w:tcW w:w="1221" w:type="dxa"/>
            <w:noWrap w:val="0"/>
            <w:vAlign w:val="center"/>
          </w:tcPr>
          <w:p w14:paraId="1F155B09"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553000</w:t>
            </w:r>
          </w:p>
        </w:tc>
      </w:tr>
      <w:tr w14:paraId="2896ADD2"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1" w:hRule="atLeast"/>
          <w:jc w:val="center"/>
        </w:trPr>
        <w:tc>
          <w:tcPr>
            <w:tcW w:w="9417" w:type="dxa"/>
            <w:gridSpan w:val="6"/>
            <w:noWrap w:val="0"/>
            <w:vAlign w:val="center"/>
          </w:tcPr>
          <w:p w14:paraId="62AA520E"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 xml:space="preserve">总价（人民币大写）： 壹佰伍拾伍万陆仟元整                </w:t>
            </w:r>
            <w:r>
              <w:rPr>
                <w:rFonts w:hint="eastAsia" w:ascii="宋体" w:hAnsi="宋体" w:eastAsia="宋体" w:cs="宋体"/>
                <w:szCs w:val="21"/>
              </w:rPr>
              <w:t>合计（小写）：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1556000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    元</w:t>
            </w:r>
          </w:p>
          <w:p w14:paraId="6CA364FB"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本合同总价款是货物设计、制造、包装、仓储、运输、安装及验收合格之前以及质保期内备品备件发生的所有含税费用。本合同总价款还包含乙方应当提供的伴随服务/售后服务费用。</w:t>
            </w:r>
          </w:p>
        </w:tc>
      </w:tr>
    </w:tbl>
    <w:p w14:paraId="297D943C">
      <w:pPr>
        <w:pStyle w:val="4"/>
        <w:widowControl w:val="0"/>
        <w:spacing w:line="420" w:lineRule="exact"/>
        <w:ind w:firstLine="420"/>
        <w:rPr>
          <w:rFonts w:hint="eastAsia" w:hAnsi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</w:rPr>
        <w:t xml:space="preserve">二、交货时间：合同签订后 </w:t>
      </w:r>
      <w:r>
        <w:rPr>
          <w:rFonts w:hint="eastAsia" w:hAnsi="宋体" w:cs="宋体"/>
          <w:sz w:val="21"/>
          <w:szCs w:val="21"/>
          <w:lang w:val="en-US" w:eastAsia="zh-CN"/>
        </w:rPr>
        <w:t>14</w:t>
      </w:r>
      <w:r>
        <w:rPr>
          <w:rFonts w:hint="eastAsia" w:hAnsi="宋体" w:cs="宋体"/>
          <w:sz w:val="21"/>
          <w:szCs w:val="21"/>
        </w:rPr>
        <w:t xml:space="preserve"> 日内交货，乙方逾期交付的，每天按照合同总价千分之五向采购人支付违约金，晚到30天以上，采购人有权取消合同并要求乙方支付合同总价5%的违约金。</w:t>
      </w:r>
    </w:p>
    <w:p w14:paraId="7E09B647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三、交货地点：_</w:t>
      </w:r>
      <w:r>
        <w:rPr>
          <w:rFonts w:hint="eastAsia" w:ascii="宋体" w:hAnsi="宋体" w:eastAsia="宋体" w:cs="宋体"/>
          <w:szCs w:val="21"/>
          <w:lang w:val="en-US" w:eastAsia="zh-CN"/>
        </w:rPr>
        <w:t>由乙方负责运输至甲方指定地点</w:t>
      </w:r>
      <w:r>
        <w:rPr>
          <w:rFonts w:hint="eastAsia" w:ascii="宋体" w:hAnsi="宋体" w:eastAsia="宋体" w:cs="宋体"/>
          <w:szCs w:val="21"/>
        </w:rPr>
        <w:t>____</w:t>
      </w:r>
    </w:p>
    <w:p w14:paraId="3BCAFCA9">
      <w:pPr>
        <w:spacing w:before="19" w:line="460" w:lineRule="exact"/>
        <w:rPr>
          <w:rFonts w:hint="eastAsia" w:ascii="宋体" w:hAnsi="宋体" w:eastAsia="宋体" w:cs="宋体"/>
          <w:szCs w:val="21"/>
          <w:u w:val="single"/>
        </w:rPr>
      </w:pPr>
      <w:r>
        <w:rPr>
          <w:rFonts w:hint="eastAsia" w:ascii="宋体" w:hAnsi="宋体" w:eastAsia="宋体" w:cs="宋体"/>
          <w:szCs w:val="21"/>
        </w:rPr>
        <w:t>四、付款方式：_验收合格后30日内支付合同总价的100%，付款金额不计利息___</w:t>
      </w:r>
    </w:p>
    <w:p w14:paraId="0A29414D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五、质保期：__</w:t>
      </w:r>
      <w:r>
        <w:rPr>
          <w:rFonts w:hint="eastAsia" w:ascii="宋体" w:hAnsi="宋体" w:eastAsia="宋体" w:cs="宋体"/>
          <w:szCs w:val="21"/>
          <w:lang w:val="en-US" w:eastAsia="zh-CN"/>
        </w:rPr>
        <w:t>10年</w:t>
      </w:r>
      <w:r>
        <w:rPr>
          <w:rFonts w:hint="eastAsia" w:ascii="宋体" w:hAnsi="宋体" w:eastAsia="宋体" w:cs="宋体"/>
          <w:szCs w:val="21"/>
        </w:rPr>
        <w:t>___(自验收合格之日起计。所有货物保修服务方式均为乙方派员到货物使用现场维修，由此产生的一切费用均由乙方承担。)</w:t>
      </w:r>
    </w:p>
    <w:p w14:paraId="7D183608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六、质量要求、技术标准、乙方对质量负责的条件和期限：</w:t>
      </w:r>
    </w:p>
    <w:p w14:paraId="5BA85085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1、乙方所提供的货物，若技术性能无特殊说明，则按生产企业或国家有关部门最新颁布的标准及规范为准。</w:t>
      </w:r>
    </w:p>
    <w:p w14:paraId="3B37B488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2、乙方应保证货物是全新、未使用过的原装合格正品，并完全符合生产企业或国家规定的质量、规格和性能的要求。货物验收后，在质量保证期内，乙方应对由于设计、工艺或材料的缺陷所发生的任何不足或故障负责，所需费用由乙方承担。</w:t>
      </w:r>
    </w:p>
    <w:p w14:paraId="1D246F4E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七、验收标准：甲方应当在到货且安装调试完成后__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Cs w:val="21"/>
        </w:rPr>
        <w:t>__日内对货物进行验收，验收包括：型号、规格、数量、外观质量、货物包装是否完好，安装调试是否合格。所提供货物的装箱清单、用户手册、原厂保修卡、随机资料及配件、随机工具等是否齐全。验收时乙方必须在现场，验收合格后甲方应在验收记录上签字盖章。</w:t>
      </w:r>
    </w:p>
    <w:p w14:paraId="0FC66F95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八、工程部分（两万元以上）需按南京邮电大学审计相关规定执行。</w:t>
      </w:r>
    </w:p>
    <w:p w14:paraId="5749E207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九、招投标文件为本合同的附件，与本合同具有同等法律效力（本条款适用于招投标项目）。甲乙双方商定的其他必要文件，附件与本合同不相符合之处，以本合同内容为准。上述文件内容互为补充。</w:t>
      </w:r>
    </w:p>
    <w:p w14:paraId="0C720590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十、违约责任</w:t>
      </w:r>
    </w:p>
    <w:p w14:paraId="1A5EFF49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1、甲方无正当理由拒收货物、拒付货物款的，由甲方向乙方偿付合同总价的5%违约金。如乙方不能交付货物，乙方应向甲方支付合同总价５％的违约金。</w:t>
      </w:r>
    </w:p>
    <w:p w14:paraId="05EF8A64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2、乙方逾期交付货物的，乙方应按逾期交货总额每日千分之五向甲方支付违约金，由甲方从待付货款中扣除。逾期超过约定日期30个工作日不能交货的，甲方可解除本合同。乙方因逾期交货或因其他违约行为导致甲方解除合同的，乙方应向甲方支付合同总值5%的违约金，如造成甲方损失超过违约金的，超出部分由乙方继续承担赔偿责任。 </w:t>
      </w:r>
    </w:p>
    <w:p w14:paraId="186ABC42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3、乙方所交的货物品种、型号、规格、技术参数、质量不符合合同规定及招标文件规定标准的，甲方有权拒收该货物，乙方愿意更换货物但逾期交货的，按乙方逾期交货处理。乙方拒绝更换货物的，甲方可单方面解除合同。</w:t>
      </w:r>
    </w:p>
    <w:p w14:paraId="5BA1A089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4、在乙方承诺的或国家规定的质量保证期内（取两者中最长的期限），如经乙方两次维修或更换，货物仍不能达到合同约定的质量标准，甲方有权退货，乙方应退回全部货款。同时，乙方还须赔偿甲方因此遭受的损失。</w:t>
      </w:r>
    </w:p>
    <w:p w14:paraId="045D072E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十一、 合同的变更和终止</w:t>
      </w:r>
    </w:p>
    <w:p w14:paraId="19ECB788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依据《政府采购法》第五十条，本合同一经签订，甲乙双方不得擅自变更、中止或终止合同。</w:t>
      </w:r>
    </w:p>
    <w:p w14:paraId="6D5D8A6E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十二、合同的转让</w:t>
      </w:r>
    </w:p>
    <w:p w14:paraId="5D2AAFD2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乙方不得擅自部分或全部转让其应履行的合同义务。</w:t>
      </w:r>
    </w:p>
    <w:p w14:paraId="189860BF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十三、 争议的解决</w:t>
      </w:r>
    </w:p>
    <w:p w14:paraId="70EFC048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1、因货物的质量问题发生争议的，应当邀请国家认可的质量检测机构对货物质量进行鉴定。货物符合标准的，鉴定费由甲方承担；货物不符合质量标准的，鉴定费由乙方承担、并更换有问题商品或部件。</w:t>
      </w:r>
    </w:p>
    <w:p w14:paraId="5FDA19B6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2、因履行本合同引起的或与本合同有关的争议，甲、乙双方应首先通过友好协商解决，如果协商不能解决争议，任何一方均可向甲方所在地人民法院起诉解决。</w:t>
      </w:r>
    </w:p>
    <w:p w14:paraId="4F18CA25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十四、付款前乙方须提供</w:t>
      </w:r>
      <w:r>
        <w:rPr>
          <w:rFonts w:hint="eastAsia" w:ascii="宋体" w:hAnsi="宋体" w:eastAsia="宋体" w:cs="宋体"/>
          <w:szCs w:val="21"/>
          <w:u w:val="single"/>
        </w:rPr>
        <w:t>增值税专用发票</w:t>
      </w:r>
      <w:r>
        <w:rPr>
          <w:rFonts w:hint="eastAsia" w:ascii="宋体" w:hAnsi="宋体" w:eastAsia="宋体" w:cs="宋体"/>
          <w:szCs w:val="21"/>
        </w:rPr>
        <w:t>，总价不变。</w:t>
      </w:r>
    </w:p>
    <w:p w14:paraId="33A1E35B">
      <w:pPr>
        <w:spacing w:before="19" w:line="46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十五、本合同由甲、乙双方共同签订，合同一式陆份，甲方伍份、乙方壹份。自双方签字、盖章之日起生效。</w:t>
      </w:r>
    </w:p>
    <w:p w14:paraId="7F228C3E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</w:p>
    <w:p w14:paraId="6302BDE4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</w:p>
    <w:p w14:paraId="178D0359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甲方                                     乙方</w:t>
      </w:r>
    </w:p>
    <w:p w14:paraId="79AC716A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单位名称：南京邮电大学                    单位名称：杭州捷烁教育科技有限公司</w:t>
      </w:r>
    </w:p>
    <w:p w14:paraId="0F4035D4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单位地址：                          单位地址：杭州市新天地商务中心10幢201-19</w:t>
      </w:r>
    </w:p>
    <w:p w14:paraId="0A0FA300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法定代表人：                              法定代表人：杨美琳</w:t>
      </w:r>
    </w:p>
    <w:p w14:paraId="6B9AA059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委托代理人（签字）：                      委托代理人（签字）：</w:t>
      </w:r>
    </w:p>
    <w:p w14:paraId="34B91950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联系电话：                                联系电话：18969166208                                            </w:t>
      </w:r>
    </w:p>
    <w:p w14:paraId="326ED1DB">
      <w:pPr>
        <w:spacing w:before="19" w:line="360" w:lineRule="auto"/>
        <w:ind w:firstLine="42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开户银行：工商银行察哈尔路支行            开户银行：招商银行杭州分行营业部 </w:t>
      </w:r>
    </w:p>
    <w:p w14:paraId="76AAD8DB">
      <w:pPr>
        <w:spacing w:before="19" w:line="360" w:lineRule="auto"/>
        <w:ind w:firstLine="420"/>
        <w:rPr>
          <w:rFonts w:ascii="宋体" w:hAnsi="宋体"/>
          <w:szCs w:val="28"/>
        </w:rPr>
      </w:pPr>
      <w:r>
        <w:rPr>
          <w:rFonts w:hint="eastAsia" w:ascii="宋体" w:hAnsi="宋体" w:eastAsia="宋体" w:cs="宋体"/>
          <w:szCs w:val="21"/>
        </w:rPr>
        <w:t xml:space="preserve">户名： 南京邮电大学                       户名：杭州捷烁教育科技有限公司 </w:t>
      </w:r>
    </w:p>
    <w:p w14:paraId="6E9FC52B">
      <w:pPr>
        <w:spacing w:before="19" w:line="360" w:lineRule="auto"/>
        <w:ind w:firstLine="420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 xml:space="preserve">                         </w:t>
      </w:r>
      <w:r>
        <w:rPr>
          <w:rFonts w:ascii="宋体" w:hAnsi="宋体"/>
          <w:szCs w:val="28"/>
        </w:rPr>
        <w:t xml:space="preserve">                 </w:t>
      </w:r>
      <w:r>
        <w:rPr>
          <w:rFonts w:hint="eastAsia" w:ascii="宋体" w:hAnsi="宋体"/>
          <w:szCs w:val="28"/>
        </w:rPr>
        <w:t xml:space="preserve">账号：571914217710901 </w:t>
      </w:r>
    </w:p>
    <w:p w14:paraId="521F42AD">
      <w:pPr>
        <w:spacing w:before="19" w:line="360" w:lineRule="auto"/>
        <w:ind w:firstLine="420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 xml:space="preserve">                            </w:t>
      </w:r>
      <w:r>
        <w:rPr>
          <w:rFonts w:ascii="宋体" w:hAnsi="宋体"/>
          <w:szCs w:val="28"/>
        </w:rPr>
        <w:t xml:space="preserve">              </w:t>
      </w:r>
      <w:r>
        <w:rPr>
          <w:rFonts w:hint="eastAsia" w:ascii="宋体" w:hAnsi="宋体"/>
          <w:szCs w:val="28"/>
        </w:rPr>
        <w:t xml:space="preserve">行号：  </w:t>
      </w:r>
    </w:p>
    <w:p w14:paraId="2D50F61B">
      <w:pPr>
        <w:spacing w:before="19" w:line="360" w:lineRule="auto"/>
        <w:ind w:firstLine="420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 xml:space="preserve">地址、电话：南京市栖霞区文苑路9号   </w:t>
      </w:r>
      <w:r>
        <w:rPr>
          <w:rFonts w:hint="eastAsia" w:ascii="宋体" w:hAnsi="宋体" w:eastAsia="宋体"/>
          <w:szCs w:val="28"/>
        </w:rPr>
        <w:t xml:space="preserve">  </w:t>
      </w:r>
      <w:r>
        <w:rPr>
          <w:rFonts w:hint="eastAsia" w:ascii="宋体" w:hAnsi="宋体" w:eastAsia="宋体"/>
          <w:szCs w:val="28"/>
          <w:lang w:val="en-US" w:eastAsia="zh-CN"/>
        </w:rPr>
        <w:t xml:space="preserve">   </w:t>
      </w:r>
      <w:r>
        <w:rPr>
          <w:rFonts w:hint="eastAsia" w:ascii="宋体" w:hAnsi="宋体"/>
          <w:szCs w:val="28"/>
        </w:rPr>
        <w:t>项目联系人：黄青</w:t>
      </w:r>
      <w:bookmarkStart w:id="0" w:name="_GoBack"/>
      <w:bookmarkEnd w:id="0"/>
    </w:p>
    <w:p w14:paraId="1071B37E">
      <w:pPr>
        <w:spacing w:before="19" w:line="360" w:lineRule="auto"/>
        <w:ind w:firstLine="420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t>025-85866388</w:t>
      </w:r>
    </w:p>
    <w:p w14:paraId="261C817E">
      <w:pPr>
        <w:spacing w:before="19" w:line="360" w:lineRule="auto"/>
        <w:ind w:firstLine="420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t>签约日期（即合同生效日期）：    年     月     日   联系电话：13735859009</w:t>
      </w:r>
    </w:p>
    <w:p w14:paraId="446989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32879"/>
    <w:rsid w:val="127C300E"/>
    <w:rsid w:val="19EC2827"/>
    <w:rsid w:val="219A4905"/>
    <w:rsid w:val="37DE6C99"/>
    <w:rsid w:val="3E0B0C1F"/>
    <w:rsid w:val="40916A27"/>
    <w:rsid w:val="44632615"/>
    <w:rsid w:val="44813911"/>
    <w:rsid w:val="45E5269D"/>
    <w:rsid w:val="49F72BAB"/>
    <w:rsid w:val="634253D6"/>
    <w:rsid w:val="6B555067"/>
    <w:rsid w:val="6E511DCE"/>
    <w:rsid w:val="75AD6A8B"/>
    <w:rsid w:val="773725DA"/>
    <w:rsid w:val="7B0D7526"/>
    <w:rsid w:val="7EEA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Arial" w:cs="Times New Roman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纯文本1"/>
    <w:basedOn w:val="1"/>
    <w:qFormat/>
    <w:uiPriority w:val="0"/>
    <w:rPr>
      <w:rFonts w:ascii="宋体" w:hAnsi="Courier New" w:eastAsia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1884</Words>
  <Characters>1972</Characters>
  <Lines>0</Lines>
  <Paragraphs>0</Paragraphs>
  <TotalTime>66</TotalTime>
  <ScaleCrop>false</ScaleCrop>
  <LinksUpToDate>false</LinksUpToDate>
  <CharactersWithSpaces>2456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2026-03-04T11:47:00Z</dcterms:created>
  <dc:creator>HUAWEI</dc:creator>
  <cp:lastModifiedBy>王少丽</cp:lastModifiedBy>
  <dcterms:modified xsi:type="dcterms:W3CDTF">2026-03-09T07:08:17Z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eyJoZGlkIjoiYjRiMjU0NGQ1Y2QyNjQ1Njc5OTRmZWYyYjg4NDg5ZDciLCJ1c2VySWQiOiIxNDc5NTE5MzczIn0=</vt:lpwstr>
  </property>
  <property fmtid="{D5CDD505-2E9C-101B-9397-08002B2CF9AE}" pid="4" name="ICV">
    <vt:lpwstr>8E7B5B224E2242758B57F40395D980A5_13</vt:lpwstr>
  </property>
</Properties>
</file>