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1E13A">
      <w:pPr>
        <w:widowControl/>
        <w:snapToGrid w:val="0"/>
        <w:spacing w:before="19"/>
        <w:ind w:left="-358" w:leftChars="-255" w:right="-334" w:rightChars="-159" w:hanging="177" w:hangingChars="49"/>
        <w:jc w:val="center"/>
        <w:rPr>
          <w:rFonts w:eastAsia="仿宋_GB2312"/>
          <w:b/>
          <w:sz w:val="36"/>
        </w:rPr>
      </w:pPr>
      <w:r>
        <w:rPr>
          <w:rFonts w:eastAsia="仿宋_GB2312"/>
          <w:b/>
          <w:sz w:val="36"/>
        </w:rPr>
        <w:t>南京邮电大学采购合同</w:t>
      </w:r>
    </w:p>
    <w:p w14:paraId="4DF6FC23">
      <w:pPr>
        <w:wordWrap w:val="0"/>
        <w:spacing w:line="240" w:lineRule="atLeast"/>
        <w:rPr>
          <w:sz w:val="24"/>
        </w:rPr>
      </w:pPr>
      <w:r>
        <w:rPr>
          <w:sz w:val="24"/>
        </w:rPr>
        <w:t>甲方：南京邮电大学                             签订地点：南京邮电大学</w:t>
      </w:r>
    </w:p>
    <w:p w14:paraId="6EEE2163">
      <w:pPr>
        <w:widowControl/>
        <w:snapToGrid w:val="0"/>
        <w:spacing w:before="19"/>
        <w:rPr>
          <w:sz w:val="24"/>
        </w:rPr>
      </w:pPr>
      <w:r>
        <w:rPr>
          <w:sz w:val="24"/>
        </w:rPr>
        <w:t>乙方：</w:t>
      </w:r>
      <w:r>
        <w:rPr>
          <w:rFonts w:hint="eastAsia"/>
          <w:sz w:val="24"/>
        </w:rPr>
        <w:t>杭</w:t>
      </w:r>
      <w:r>
        <w:rPr>
          <w:sz w:val="24"/>
        </w:rPr>
        <w:t xml:space="preserve">州捷孚电子技术有限公司                                         </w:t>
      </w:r>
    </w:p>
    <w:p w14:paraId="6C135DCC">
      <w:pPr>
        <w:widowControl/>
        <w:snapToGrid w:val="0"/>
        <w:spacing w:before="19"/>
        <w:rPr>
          <w:sz w:val="24"/>
        </w:rPr>
      </w:pPr>
      <w:r>
        <w:rPr>
          <w:sz w:val="24"/>
        </w:rPr>
        <w:t xml:space="preserve">    甲乙双方根据</w:t>
      </w:r>
      <w:r>
        <w:rPr>
          <w:sz w:val="24"/>
          <w:u w:val="single"/>
        </w:rPr>
        <w:t xml:space="preserve">  物联网学院+大规模物联网设备多址接入平台与开发系统  </w:t>
      </w:r>
      <w:r>
        <w:rPr>
          <w:sz w:val="24"/>
        </w:rPr>
        <w:t>项目采购结果,依据《中华人民共和国民法典》合同编及相关法律规定，达成如下货物购销合同:</w:t>
      </w:r>
    </w:p>
    <w:p w14:paraId="74053496">
      <w:pPr>
        <w:widowControl/>
        <w:snapToGrid w:val="0"/>
        <w:spacing w:before="19"/>
        <w:rPr>
          <w:sz w:val="24"/>
        </w:rPr>
      </w:pPr>
      <w:r>
        <w:rPr>
          <w:sz w:val="24"/>
        </w:rPr>
        <w:t>一、货物及其数量、金额：</w:t>
      </w:r>
    </w:p>
    <w:tbl>
      <w:tblPr>
        <w:tblStyle w:val="17"/>
        <w:tblW w:w="9720" w:type="dxa"/>
        <w:tblInd w:w="-432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655"/>
        <w:gridCol w:w="2552"/>
        <w:gridCol w:w="992"/>
        <w:gridCol w:w="1541"/>
        <w:gridCol w:w="1260"/>
      </w:tblGrid>
      <w:tr w14:paraId="5508D77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</w:trPr>
        <w:tc>
          <w:tcPr>
            <w:tcW w:w="720" w:type="dxa"/>
            <w:tcBorders>
              <w:top w:val="single" w:color="auto" w:sz="18" w:space="0"/>
              <w:bottom w:val="single" w:color="auto" w:sz="18" w:space="0"/>
            </w:tcBorders>
            <w:shd w:val="pct10" w:color="auto" w:fill="FFFFFF"/>
            <w:vAlign w:val="center"/>
          </w:tcPr>
          <w:p w14:paraId="194FE880">
            <w:pPr>
              <w:snapToGrid w:val="0"/>
              <w:spacing w:line="240" w:lineRule="atLeast"/>
              <w:jc w:val="center"/>
              <w:rPr>
                <w:rFonts w:eastAsia="楷体_GB2312"/>
                <w:b/>
                <w:kern w:val="0"/>
                <w:sz w:val="24"/>
              </w:rPr>
            </w:pPr>
            <w:r>
              <w:rPr>
                <w:rFonts w:eastAsia="楷体_GB2312"/>
                <w:b/>
                <w:kern w:val="0"/>
                <w:sz w:val="24"/>
              </w:rPr>
              <w:t>编号</w:t>
            </w:r>
          </w:p>
        </w:tc>
        <w:tc>
          <w:tcPr>
            <w:tcW w:w="2655" w:type="dxa"/>
            <w:tcBorders>
              <w:top w:val="single" w:color="auto" w:sz="18" w:space="0"/>
              <w:bottom w:val="single" w:color="auto" w:sz="18" w:space="0"/>
            </w:tcBorders>
            <w:shd w:val="pct10" w:color="auto" w:fill="FFFFFF"/>
            <w:vAlign w:val="center"/>
          </w:tcPr>
          <w:p w14:paraId="1C3AB47A">
            <w:pPr>
              <w:snapToGrid w:val="0"/>
              <w:spacing w:line="240" w:lineRule="atLeast"/>
              <w:jc w:val="center"/>
              <w:rPr>
                <w:rFonts w:eastAsia="楷体_GB2312"/>
                <w:b/>
                <w:kern w:val="0"/>
                <w:sz w:val="24"/>
              </w:rPr>
            </w:pPr>
            <w:r>
              <w:rPr>
                <w:rFonts w:eastAsia="楷体_GB2312"/>
                <w:b/>
                <w:kern w:val="0"/>
                <w:sz w:val="24"/>
              </w:rPr>
              <w:t>货物名称</w:t>
            </w:r>
          </w:p>
        </w:tc>
        <w:tc>
          <w:tcPr>
            <w:tcW w:w="2552" w:type="dxa"/>
            <w:tcBorders>
              <w:top w:val="single" w:color="auto" w:sz="18" w:space="0"/>
              <w:bottom w:val="single" w:color="auto" w:sz="18" w:space="0"/>
            </w:tcBorders>
            <w:shd w:val="pct10" w:color="auto" w:fill="FFFFFF"/>
            <w:vAlign w:val="center"/>
          </w:tcPr>
          <w:p w14:paraId="08FFBA8B">
            <w:pPr>
              <w:snapToGrid w:val="0"/>
              <w:spacing w:line="240" w:lineRule="atLeast"/>
              <w:jc w:val="center"/>
              <w:rPr>
                <w:rFonts w:eastAsia="楷体_GB2312"/>
                <w:b/>
                <w:kern w:val="0"/>
                <w:sz w:val="24"/>
              </w:rPr>
            </w:pPr>
            <w:r>
              <w:rPr>
                <w:rFonts w:eastAsia="楷体_GB2312"/>
                <w:b/>
                <w:kern w:val="0"/>
                <w:sz w:val="24"/>
              </w:rPr>
              <w:t>规 格 型 号（品牌）</w:t>
            </w:r>
          </w:p>
        </w:tc>
        <w:tc>
          <w:tcPr>
            <w:tcW w:w="992" w:type="dxa"/>
            <w:tcBorders>
              <w:top w:val="single" w:color="auto" w:sz="18" w:space="0"/>
              <w:bottom w:val="single" w:color="auto" w:sz="18" w:space="0"/>
            </w:tcBorders>
            <w:shd w:val="pct10" w:color="auto" w:fill="FFFFFF"/>
            <w:vAlign w:val="center"/>
          </w:tcPr>
          <w:p w14:paraId="74938945">
            <w:pPr>
              <w:snapToGrid w:val="0"/>
              <w:spacing w:line="240" w:lineRule="atLeast"/>
              <w:jc w:val="center"/>
              <w:rPr>
                <w:rFonts w:eastAsia="楷体_GB2312"/>
                <w:b/>
                <w:kern w:val="0"/>
                <w:sz w:val="24"/>
              </w:rPr>
            </w:pPr>
            <w:r>
              <w:rPr>
                <w:rFonts w:eastAsia="楷体_GB2312"/>
                <w:b/>
                <w:kern w:val="0"/>
                <w:sz w:val="24"/>
              </w:rPr>
              <w:t>数量</w:t>
            </w:r>
          </w:p>
        </w:tc>
        <w:tc>
          <w:tcPr>
            <w:tcW w:w="1541" w:type="dxa"/>
            <w:tcBorders>
              <w:top w:val="single" w:color="auto" w:sz="18" w:space="0"/>
              <w:bottom w:val="single" w:color="auto" w:sz="18" w:space="0"/>
              <w:right w:val="single" w:color="auto" w:sz="4" w:space="0"/>
            </w:tcBorders>
            <w:shd w:val="pct10" w:color="auto" w:fill="FFFFFF"/>
            <w:vAlign w:val="center"/>
          </w:tcPr>
          <w:p w14:paraId="507C4E12">
            <w:pPr>
              <w:snapToGrid w:val="0"/>
              <w:spacing w:line="240" w:lineRule="atLeast"/>
              <w:jc w:val="center"/>
              <w:rPr>
                <w:rFonts w:eastAsia="楷体_GB2312"/>
                <w:b/>
                <w:kern w:val="0"/>
                <w:sz w:val="24"/>
              </w:rPr>
            </w:pPr>
            <w:r>
              <w:rPr>
                <w:rFonts w:eastAsia="楷体_GB2312"/>
                <w:b/>
                <w:kern w:val="0"/>
                <w:sz w:val="24"/>
              </w:rPr>
              <w:t>单价（元）</w:t>
            </w:r>
          </w:p>
        </w:tc>
        <w:tc>
          <w:tcPr>
            <w:tcW w:w="1260" w:type="dxa"/>
            <w:tcBorders>
              <w:top w:val="single" w:color="auto" w:sz="18" w:space="0"/>
              <w:bottom w:val="single" w:color="auto" w:sz="18" w:space="0"/>
              <w:right w:val="single" w:color="auto" w:sz="4" w:space="0"/>
            </w:tcBorders>
            <w:shd w:val="pct10" w:color="auto" w:fill="FFFFFF"/>
            <w:vAlign w:val="center"/>
          </w:tcPr>
          <w:p w14:paraId="6B715307">
            <w:pPr>
              <w:widowControl/>
              <w:jc w:val="left"/>
              <w:rPr>
                <w:rFonts w:eastAsia="楷体_GB2312"/>
                <w:b/>
                <w:kern w:val="0"/>
                <w:sz w:val="24"/>
              </w:rPr>
            </w:pPr>
            <w:r>
              <w:rPr>
                <w:rFonts w:eastAsia="楷体_GB2312"/>
                <w:b/>
                <w:kern w:val="0"/>
                <w:sz w:val="24"/>
              </w:rPr>
              <w:t>总价（元）</w:t>
            </w:r>
          </w:p>
        </w:tc>
      </w:tr>
      <w:tr w14:paraId="7406982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nil"/>
              <w:bottom w:val="single" w:color="auto" w:sz="4" w:space="0"/>
            </w:tcBorders>
            <w:shd w:val="clear" w:color="auto" w:fill="auto"/>
            <w:vAlign w:val="center"/>
          </w:tcPr>
          <w:p w14:paraId="111F0B9B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1</w:t>
            </w:r>
          </w:p>
        </w:tc>
        <w:tc>
          <w:tcPr>
            <w:tcW w:w="2655" w:type="dxa"/>
            <w:tcBorders>
              <w:top w:val="nil"/>
              <w:bottom w:val="single" w:color="auto" w:sz="4" w:space="0"/>
            </w:tcBorders>
            <w:shd w:val="clear" w:color="auto" w:fill="auto"/>
            <w:vAlign w:val="center"/>
          </w:tcPr>
          <w:p w14:paraId="5CB1ACE9">
            <w:pPr>
              <w:snapToGrid w:val="0"/>
              <w:jc w:val="center"/>
            </w:pPr>
            <w:r>
              <w:rPr>
                <w:spacing w:val="5"/>
              </w:rPr>
              <w:t>发射机</w:t>
            </w:r>
          </w:p>
        </w:tc>
        <w:tc>
          <w:tcPr>
            <w:tcW w:w="2552" w:type="dxa"/>
            <w:tcBorders>
              <w:top w:val="nil"/>
              <w:bottom w:val="single" w:color="auto" w:sz="4" w:space="0"/>
            </w:tcBorders>
            <w:shd w:val="clear" w:color="auto" w:fill="auto"/>
            <w:vAlign w:val="center"/>
          </w:tcPr>
          <w:p w14:paraId="732CA375">
            <w:pPr>
              <w:jc w:val="center"/>
              <w:rPr>
                <w:color w:val="000000"/>
                <w:szCs w:val="21"/>
              </w:rPr>
            </w:pPr>
            <w:r>
              <w:rPr>
                <w:spacing w:val="7"/>
              </w:rPr>
              <w:t>舰芯/</w:t>
            </w:r>
            <w:r>
              <w:t>RW</w:t>
            </w:r>
            <w:r>
              <w:rPr>
                <w:spacing w:val="7"/>
              </w:rPr>
              <w:t>-400</w:t>
            </w:r>
          </w:p>
        </w:tc>
        <w:tc>
          <w:tcPr>
            <w:tcW w:w="992" w:type="dxa"/>
            <w:tcBorders>
              <w:top w:val="nil"/>
              <w:bottom w:val="single" w:color="auto" w:sz="4" w:space="0"/>
            </w:tcBorders>
            <w:shd w:val="clear" w:color="auto" w:fill="auto"/>
            <w:vAlign w:val="center"/>
          </w:tcPr>
          <w:p w14:paraId="4FAB16AA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1</w:t>
            </w:r>
          </w:p>
        </w:tc>
        <w:tc>
          <w:tcPr>
            <w:tcW w:w="1541" w:type="dxa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5B9B6F">
            <w:pPr>
              <w:jc w:val="center"/>
              <w:rPr>
                <w:b/>
              </w:rPr>
            </w:pPr>
            <w:r>
              <w:rPr>
                <w:spacing w:val="3"/>
              </w:rPr>
              <w:t>292,280.</w:t>
            </w:r>
            <w:r>
              <w:rPr>
                <w:spacing w:val="-7"/>
                <w:position w:val="1"/>
              </w:rPr>
              <w:t>15</w:t>
            </w:r>
          </w:p>
        </w:tc>
        <w:tc>
          <w:tcPr>
            <w:tcW w:w="1260" w:type="dxa"/>
            <w:tcBorders>
              <w:top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4B832C">
            <w:pPr>
              <w:jc w:val="center"/>
            </w:pPr>
            <w:r>
              <w:rPr>
                <w:spacing w:val="3"/>
              </w:rPr>
              <w:t>292,280.1</w:t>
            </w:r>
            <w:r>
              <w:rPr>
                <w:position w:val="1"/>
              </w:rPr>
              <w:t>5</w:t>
            </w:r>
          </w:p>
        </w:tc>
      </w:tr>
      <w:tr w14:paraId="56D6EC4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023207F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2</w:t>
            </w:r>
          </w:p>
        </w:tc>
        <w:tc>
          <w:tcPr>
            <w:tcW w:w="265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A266363">
            <w:pPr>
              <w:snapToGrid w:val="0"/>
              <w:jc w:val="center"/>
            </w:pPr>
            <w:r>
              <w:rPr>
                <w:spacing w:val="7"/>
              </w:rPr>
              <w:t>接收机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3E1A51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pacing w:val="7"/>
              </w:rPr>
              <w:t>舰芯/</w:t>
            </w:r>
            <w:r>
              <w:t>RW</w:t>
            </w:r>
            <w:r>
              <w:rPr>
                <w:spacing w:val="7"/>
              </w:rPr>
              <w:t>-160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520C99F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1</w:t>
            </w:r>
          </w:p>
        </w:tc>
        <w:tc>
          <w:tcPr>
            <w:tcW w:w="15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E7577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spacing w:val="2"/>
              </w:rPr>
              <w:t>166,844.</w:t>
            </w:r>
            <w:r>
              <w:rPr>
                <w:spacing w:val="-2"/>
                <w:position w:val="1"/>
              </w:rPr>
              <w:t>50</w:t>
            </w: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44EECD">
            <w:pPr>
              <w:jc w:val="center"/>
            </w:pPr>
            <w:r>
              <w:rPr>
                <w:spacing w:val="2"/>
              </w:rPr>
              <w:t>166,844.5</w:t>
            </w:r>
            <w:r>
              <w:rPr>
                <w:position w:val="1"/>
              </w:rPr>
              <w:t>0</w:t>
            </w:r>
          </w:p>
        </w:tc>
      </w:tr>
      <w:tr w14:paraId="7DE3EA6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62F1B6D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3</w:t>
            </w:r>
          </w:p>
        </w:tc>
        <w:tc>
          <w:tcPr>
            <w:tcW w:w="265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15860CB">
            <w:pPr>
              <w:snapToGrid w:val="0"/>
              <w:jc w:val="center"/>
            </w:pPr>
            <w:r>
              <w:t>SDR</w:t>
            </w:r>
            <w:r>
              <w:rPr>
                <w:spacing w:val="-44"/>
              </w:rPr>
              <w:t xml:space="preserve"> </w:t>
            </w:r>
            <w:r>
              <w:rPr>
                <w:spacing w:val="9"/>
              </w:rPr>
              <w:t>控制器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A26A9D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pacing w:val="17"/>
              </w:rPr>
              <w:t>舰芯/</w:t>
            </w:r>
            <w:r>
              <w:t>RW</w:t>
            </w:r>
            <w:r>
              <w:rPr>
                <w:spacing w:val="17"/>
              </w:rPr>
              <w:t>-</w:t>
            </w:r>
            <w:r>
              <w:t>Station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F2F7E48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2</w:t>
            </w:r>
          </w:p>
        </w:tc>
        <w:tc>
          <w:tcPr>
            <w:tcW w:w="15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B19AE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spacing w:val="4"/>
              </w:rPr>
              <w:t>49,900.0</w:t>
            </w:r>
            <w:r>
              <w:rPr>
                <w:position w:val="1"/>
              </w:rPr>
              <w:t>0</w:t>
            </w: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200BDE">
            <w:pPr>
              <w:jc w:val="center"/>
            </w:pPr>
            <w:r>
              <w:rPr>
                <w:spacing w:val="3"/>
              </w:rPr>
              <w:t>99,800.00</w:t>
            </w:r>
          </w:p>
        </w:tc>
      </w:tr>
      <w:tr w14:paraId="717E80E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406B6A9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4</w:t>
            </w:r>
          </w:p>
        </w:tc>
        <w:tc>
          <w:tcPr>
            <w:tcW w:w="265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A6BE1C1">
            <w:pPr>
              <w:snapToGrid w:val="0"/>
              <w:jc w:val="center"/>
            </w:pPr>
            <w:r>
              <w:t>GPS</w:t>
            </w:r>
            <w:r>
              <w:rPr>
                <w:spacing w:val="-22"/>
              </w:rPr>
              <w:t xml:space="preserve"> </w:t>
            </w:r>
            <w:r>
              <w:rPr>
                <w:spacing w:val="3"/>
              </w:rPr>
              <w:t>同步器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90E17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pacing w:val="14"/>
              </w:rPr>
              <w:t>舰芯/</w:t>
            </w:r>
            <w:r>
              <w:t>GPS</w:t>
            </w:r>
            <w:r>
              <w:rPr>
                <w:spacing w:val="14"/>
              </w:rPr>
              <w:t>-</w:t>
            </w:r>
            <w:r>
              <w:t>Sync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CB9BF0F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2</w:t>
            </w:r>
          </w:p>
        </w:tc>
        <w:tc>
          <w:tcPr>
            <w:tcW w:w="15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45464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spacing w:val="2"/>
              </w:rPr>
              <w:t>18,813.0</w:t>
            </w:r>
            <w:r>
              <w:rPr>
                <w:position w:val="1"/>
              </w:rPr>
              <w:t>0</w:t>
            </w: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D948F">
            <w:pPr>
              <w:jc w:val="center"/>
            </w:pPr>
            <w:r>
              <w:rPr>
                <w:spacing w:val="3"/>
              </w:rPr>
              <w:t>37,626.00</w:t>
            </w:r>
          </w:p>
        </w:tc>
      </w:tr>
      <w:tr w14:paraId="2E0D22B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8C12BC7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5</w:t>
            </w:r>
          </w:p>
        </w:tc>
        <w:tc>
          <w:tcPr>
            <w:tcW w:w="265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0EABA23">
            <w:pPr>
              <w:snapToGrid w:val="0"/>
              <w:jc w:val="center"/>
            </w:pPr>
            <w:r>
              <w:rPr>
                <w:spacing w:val="7"/>
              </w:rPr>
              <w:t>射频功放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EA6B69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pacing w:val="6"/>
              </w:rPr>
              <w:t>舰芯/</w:t>
            </w:r>
            <w:r>
              <w:t>PA</w:t>
            </w:r>
            <w:r>
              <w:rPr>
                <w:spacing w:val="6"/>
              </w:rPr>
              <w:t>00700600A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B5F0C33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1</w:t>
            </w:r>
          </w:p>
        </w:tc>
        <w:tc>
          <w:tcPr>
            <w:tcW w:w="15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2E541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spacing w:val="4"/>
              </w:rPr>
              <w:t>48,400.0</w:t>
            </w:r>
            <w:r>
              <w:rPr>
                <w:position w:val="1"/>
              </w:rPr>
              <w:t>0</w:t>
            </w: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7D0C6D">
            <w:pPr>
              <w:jc w:val="center"/>
            </w:pPr>
            <w:r>
              <w:rPr>
                <w:spacing w:val="4"/>
              </w:rPr>
              <w:t>48,400.00</w:t>
            </w:r>
          </w:p>
        </w:tc>
      </w:tr>
      <w:tr w14:paraId="124B5E7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EF73D89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6</w:t>
            </w:r>
          </w:p>
        </w:tc>
        <w:tc>
          <w:tcPr>
            <w:tcW w:w="265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631736A">
            <w:pPr>
              <w:snapToGrid w:val="0"/>
              <w:jc w:val="center"/>
            </w:pPr>
            <w:r>
              <w:t>AI</w:t>
            </w:r>
            <w:r>
              <w:rPr>
                <w:spacing w:val="-37"/>
              </w:rPr>
              <w:t xml:space="preserve"> </w:t>
            </w:r>
            <w:r>
              <w:rPr>
                <w:spacing w:val="8"/>
              </w:rPr>
              <w:t>处理器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4DAA463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pacing w:val="19"/>
              </w:rPr>
              <w:t>舰芯/</w:t>
            </w:r>
            <w:r>
              <w:t>AIStudio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34DAFDA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1</w:t>
            </w:r>
          </w:p>
        </w:tc>
        <w:tc>
          <w:tcPr>
            <w:tcW w:w="15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BD0DB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spacing w:val="4"/>
              </w:rPr>
              <w:t>91,300.0</w:t>
            </w:r>
            <w:r>
              <w:rPr>
                <w:position w:val="1"/>
              </w:rPr>
              <w:t>0</w:t>
            </w: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382323">
            <w:pPr>
              <w:jc w:val="center"/>
            </w:pPr>
            <w:r>
              <w:rPr>
                <w:spacing w:val="3"/>
              </w:rPr>
              <w:t>91,300.00</w:t>
            </w:r>
          </w:p>
        </w:tc>
      </w:tr>
      <w:tr w14:paraId="1350F48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EF2D04C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7</w:t>
            </w:r>
          </w:p>
        </w:tc>
        <w:tc>
          <w:tcPr>
            <w:tcW w:w="265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14A248C">
            <w:pPr>
              <w:snapToGrid w:val="0"/>
              <w:jc w:val="center"/>
            </w:pPr>
            <w:r>
              <w:rPr>
                <w:spacing w:val="8"/>
              </w:rPr>
              <w:t>通感算一</w:t>
            </w:r>
            <w:r>
              <w:rPr>
                <w:spacing w:val="7"/>
              </w:rPr>
              <w:t>体化验证</w:t>
            </w:r>
            <w:r>
              <w:rPr>
                <w:spacing w:val="3"/>
              </w:rPr>
              <w:t>软件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80DDD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pacing w:val="13"/>
              </w:rPr>
              <w:t>舰芯/</w:t>
            </w:r>
            <w:r>
              <w:t>FC</w:t>
            </w:r>
            <w:r>
              <w:rPr>
                <w:spacing w:val="13"/>
              </w:rPr>
              <w:t>-</w:t>
            </w:r>
            <w:r>
              <w:t>ISAC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24465E3E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1</w:t>
            </w:r>
          </w:p>
        </w:tc>
        <w:tc>
          <w:tcPr>
            <w:tcW w:w="15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5A8AA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spacing w:val="3"/>
              </w:rPr>
              <w:t>263,000.</w:t>
            </w:r>
            <w:r>
              <w:rPr>
                <w:position w:val="1"/>
              </w:rPr>
              <w:t>00</w:t>
            </w: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171EEC">
            <w:pPr>
              <w:jc w:val="center"/>
            </w:pPr>
            <w:r>
              <w:rPr>
                <w:spacing w:val="3"/>
              </w:rPr>
              <w:t>263,000.0</w:t>
            </w:r>
            <w:r>
              <w:rPr>
                <w:position w:val="1"/>
              </w:rPr>
              <w:t>0</w:t>
            </w:r>
          </w:p>
        </w:tc>
      </w:tr>
      <w:tr w14:paraId="3CEDC5D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C81E399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8</w:t>
            </w:r>
          </w:p>
        </w:tc>
        <w:tc>
          <w:tcPr>
            <w:tcW w:w="265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13E7639">
            <w:pPr>
              <w:snapToGrid w:val="0"/>
              <w:jc w:val="center"/>
            </w:pPr>
            <w:r>
              <w:rPr>
                <w:spacing w:val="7"/>
              </w:rPr>
              <w:t>信道测量</w:t>
            </w:r>
            <w:r>
              <w:rPr>
                <w:spacing w:val="3"/>
              </w:rPr>
              <w:t>软件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238C4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pacing w:val="17"/>
              </w:rPr>
              <w:t>舰芯/</w:t>
            </w:r>
            <w:r>
              <w:t>FC</w:t>
            </w:r>
            <w:r>
              <w:rPr>
                <w:spacing w:val="17"/>
              </w:rPr>
              <w:t>-</w:t>
            </w:r>
            <w:r>
              <w:t>Sounder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28F637F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1</w:t>
            </w:r>
          </w:p>
        </w:tc>
        <w:tc>
          <w:tcPr>
            <w:tcW w:w="15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44FCA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spacing w:val="3"/>
              </w:rPr>
              <w:t>216,800.</w:t>
            </w:r>
            <w:r>
              <w:rPr>
                <w:position w:val="1"/>
              </w:rPr>
              <w:t>00</w:t>
            </w: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3EA31">
            <w:pPr>
              <w:jc w:val="center"/>
            </w:pPr>
            <w:r>
              <w:rPr>
                <w:spacing w:val="3"/>
              </w:rPr>
              <w:t>216,800.0</w:t>
            </w:r>
            <w:r>
              <w:rPr>
                <w:position w:val="1"/>
              </w:rPr>
              <w:t>0</w:t>
            </w:r>
          </w:p>
        </w:tc>
      </w:tr>
      <w:tr w14:paraId="48692C9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</w:trPr>
        <w:tc>
          <w:tcPr>
            <w:tcW w:w="720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6892A058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kern w:val="0"/>
                <w:sz w:val="24"/>
              </w:rPr>
              <w:t>9</w:t>
            </w:r>
          </w:p>
        </w:tc>
        <w:tc>
          <w:tcPr>
            <w:tcW w:w="2655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3A876724">
            <w:pPr>
              <w:snapToGrid w:val="0"/>
              <w:jc w:val="center"/>
            </w:pPr>
            <w:r>
              <w:rPr>
                <w:spacing w:val="6"/>
              </w:rPr>
              <w:t>卫星信道</w:t>
            </w:r>
            <w:r>
              <w:rPr>
                <w:spacing w:val="7"/>
              </w:rPr>
              <w:t>模拟器软</w:t>
            </w:r>
            <w:r>
              <w:rPr>
                <w:spacing w:val="1"/>
              </w:rPr>
              <w:t>件</w:t>
            </w:r>
          </w:p>
        </w:tc>
        <w:tc>
          <w:tcPr>
            <w:tcW w:w="255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1F76053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pacing w:val="12"/>
              </w:rPr>
              <w:t>舰芯/</w:t>
            </w:r>
            <w:r>
              <w:t>FC</w:t>
            </w:r>
            <w:r>
              <w:rPr>
                <w:spacing w:val="12"/>
              </w:rPr>
              <w:t>-</w:t>
            </w:r>
            <w:r>
              <w:t>EMU</w:t>
            </w:r>
          </w:p>
        </w:tc>
        <w:tc>
          <w:tcPr>
            <w:tcW w:w="992" w:type="dxa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A4ECE0F">
            <w:pPr>
              <w:snapToGrid w:val="0"/>
              <w:ind w:firstLine="102" w:firstLineChars="49"/>
              <w:jc w:val="center"/>
              <w:rPr>
                <w:b/>
                <w:kern w:val="0"/>
                <w:sz w:val="24"/>
              </w:rPr>
            </w:pPr>
            <w:r>
              <w:rPr>
                <w:position w:val="1"/>
              </w:rPr>
              <w:t>1</w:t>
            </w:r>
          </w:p>
        </w:tc>
        <w:tc>
          <w:tcPr>
            <w:tcW w:w="1541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3AF8B">
            <w:pPr>
              <w:snapToGrid w:val="0"/>
              <w:jc w:val="center"/>
              <w:rPr>
                <w:b/>
                <w:kern w:val="0"/>
                <w:sz w:val="24"/>
              </w:rPr>
            </w:pPr>
            <w:r>
              <w:rPr>
                <w:spacing w:val="3"/>
              </w:rPr>
              <w:t>229,100.</w:t>
            </w:r>
            <w:r>
              <w:rPr>
                <w:position w:val="1"/>
              </w:rPr>
              <w:t>00</w:t>
            </w: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B08248">
            <w:pPr>
              <w:jc w:val="center"/>
            </w:pPr>
            <w:r>
              <w:rPr>
                <w:spacing w:val="3"/>
              </w:rPr>
              <w:t>229,100.0</w:t>
            </w:r>
            <w:r>
              <w:rPr>
                <w:position w:val="1"/>
              </w:rPr>
              <w:t>0</w:t>
            </w:r>
          </w:p>
        </w:tc>
      </w:tr>
      <w:tr w14:paraId="20ABC2C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</w:trPr>
        <w:tc>
          <w:tcPr>
            <w:tcW w:w="9720" w:type="dxa"/>
            <w:gridSpan w:val="6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07A6F0">
            <w:r>
              <w:rPr>
                <w:b/>
                <w:sz w:val="18"/>
                <w:szCs w:val="18"/>
              </w:rPr>
              <w:t xml:space="preserve">总价（人民币大写）： </w:t>
            </w:r>
            <w:r>
              <w:rPr>
                <w:rFonts w:hint="eastAsia"/>
                <w:b/>
                <w:sz w:val="18"/>
                <w:szCs w:val="18"/>
              </w:rPr>
              <w:t>壹佰肆拾肆万伍仟壹佰伍拾元陆角伍分</w:t>
            </w:r>
            <w:r>
              <w:rPr>
                <w:b/>
                <w:sz w:val="18"/>
                <w:szCs w:val="18"/>
              </w:rPr>
              <w:t xml:space="preserve">     </w:t>
            </w:r>
            <w:r>
              <w:t>合计（小写）：1445150.65 元</w:t>
            </w:r>
          </w:p>
          <w:p w14:paraId="1BA5E436">
            <w:r>
              <w:rPr>
                <w:sz w:val="18"/>
              </w:rPr>
              <w:t>本合同总价款是货物设计、制造、包装、仓储、运输、安装及验收合格之前以及保修期内备品备件发生的所有含税费用。本合同总价款还包含乙方应当提供的伴随服务/售后服务费用。</w:t>
            </w:r>
          </w:p>
        </w:tc>
      </w:tr>
    </w:tbl>
    <w:p w14:paraId="2739F374">
      <w:pPr>
        <w:widowControl/>
        <w:snapToGrid w:val="0"/>
        <w:spacing w:before="19"/>
        <w:rPr>
          <w:sz w:val="24"/>
        </w:rPr>
      </w:pPr>
      <w:r>
        <w:rPr>
          <w:sz w:val="24"/>
        </w:rPr>
        <w:t>二、交货时间：</w:t>
      </w:r>
      <w:r>
        <w:rPr>
          <w:sz w:val="24"/>
          <w:u w:val="single"/>
        </w:rPr>
        <w:t xml:space="preserve"> </w:t>
      </w:r>
      <w:r>
        <w:rPr>
          <w:rFonts w:hint="eastAsia"/>
          <w:sz w:val="24"/>
          <w:u w:val="single"/>
        </w:rPr>
        <w:t>合同签订后90天内设备安装调试合格</w:t>
      </w:r>
      <w:r>
        <w:rPr>
          <w:sz w:val="24"/>
          <w:u w:val="single"/>
        </w:rPr>
        <w:t>。</w:t>
      </w:r>
    </w:p>
    <w:p w14:paraId="3E3CC12C">
      <w:pPr>
        <w:widowControl/>
        <w:snapToGrid w:val="0"/>
        <w:spacing w:before="19"/>
        <w:rPr>
          <w:sz w:val="24"/>
        </w:rPr>
      </w:pPr>
      <w:r>
        <w:rPr>
          <w:sz w:val="24"/>
        </w:rPr>
        <w:t>三、交货地点：由乙方负责运输至</w:t>
      </w:r>
      <w:r>
        <w:rPr>
          <w:sz w:val="24"/>
          <w:u w:val="single"/>
        </w:rPr>
        <w:t>甲方指定地点</w:t>
      </w:r>
      <w:r>
        <w:rPr>
          <w:rFonts w:hint="eastAsia"/>
          <w:sz w:val="24"/>
          <w:u w:val="single"/>
        </w:rPr>
        <w:t>，并免费提供安装调试服务</w:t>
      </w:r>
      <w:r>
        <w:rPr>
          <w:sz w:val="24"/>
          <w:u w:val="single"/>
        </w:rPr>
        <w:t>。</w:t>
      </w:r>
    </w:p>
    <w:p w14:paraId="5FA6BFDA">
      <w:pPr>
        <w:widowControl/>
        <w:snapToGrid w:val="0"/>
        <w:spacing w:before="19"/>
        <w:rPr>
          <w:sz w:val="24"/>
        </w:rPr>
      </w:pPr>
      <w:r>
        <w:rPr>
          <w:sz w:val="24"/>
        </w:rPr>
        <w:t>四、付款方式：</w:t>
      </w:r>
      <w:r>
        <w:rPr>
          <w:rFonts w:hint="eastAsia"/>
          <w:sz w:val="24"/>
        </w:rPr>
        <w:t>合同签订后到货并安装调试完毕，验收合格后 30 日内支付合同总价的 100%</w:t>
      </w:r>
      <w:r>
        <w:rPr>
          <w:sz w:val="24"/>
        </w:rPr>
        <w:t>。</w:t>
      </w:r>
    </w:p>
    <w:p w14:paraId="1D9ED5E5">
      <w:pPr>
        <w:widowControl/>
        <w:snapToGrid w:val="0"/>
        <w:spacing w:before="19"/>
        <w:rPr>
          <w:sz w:val="24"/>
        </w:rPr>
      </w:pPr>
      <w:r>
        <w:rPr>
          <w:sz w:val="24"/>
        </w:rPr>
        <w:t>五、质保期：___1</w:t>
      </w:r>
      <w:r>
        <w:rPr>
          <w:rFonts w:hint="eastAsia"/>
          <w:sz w:val="24"/>
        </w:rPr>
        <w:t>年</w:t>
      </w:r>
      <w:r>
        <w:rPr>
          <w:sz w:val="24"/>
        </w:rPr>
        <w:t>____(自验收合格之日起计。所有货物保修服务方式均为乙方派员到货物使用现场维修，由此产生的一切费用均由乙方承担。)</w:t>
      </w:r>
    </w:p>
    <w:p w14:paraId="61E90D90">
      <w:pPr>
        <w:widowControl/>
        <w:snapToGrid w:val="0"/>
        <w:spacing w:before="19"/>
        <w:rPr>
          <w:sz w:val="24"/>
        </w:rPr>
      </w:pPr>
      <w:r>
        <w:rPr>
          <w:sz w:val="24"/>
        </w:rPr>
        <w:t>六、质量要求、技术标准、乙方对质量负责的条件和期限：</w:t>
      </w:r>
    </w:p>
    <w:p w14:paraId="7F5C14F4">
      <w:pPr>
        <w:widowControl/>
        <w:snapToGrid w:val="0"/>
        <w:spacing w:before="19"/>
        <w:ind w:firstLine="480" w:firstLineChars="200"/>
        <w:rPr>
          <w:sz w:val="24"/>
        </w:rPr>
      </w:pPr>
      <w:r>
        <w:rPr>
          <w:sz w:val="24"/>
        </w:rPr>
        <w:t>1、乙方所提供的货物，若技术性能无特殊说明，则按生产企业或国家有关部门最新颁布的标准及规范为准。</w:t>
      </w:r>
    </w:p>
    <w:p w14:paraId="3C524F3F">
      <w:pPr>
        <w:widowControl/>
        <w:snapToGrid w:val="0"/>
        <w:spacing w:before="19"/>
        <w:ind w:firstLine="480" w:firstLineChars="200"/>
        <w:rPr>
          <w:sz w:val="24"/>
        </w:rPr>
      </w:pPr>
      <w:r>
        <w:rPr>
          <w:sz w:val="24"/>
        </w:rPr>
        <w:t>2、乙方应保证货物是全新、未使用过的原装合格正品，并完全符合生产企业或国家规定的质量、规格和性能的要求。货物验收后，在质量保证期内，乙方应对由于设计、工艺或材料的缺陷所发生的任何不足或故障负责，所需费用由乙方承担。</w:t>
      </w:r>
    </w:p>
    <w:p w14:paraId="5F751FAB">
      <w:pPr>
        <w:widowControl/>
        <w:snapToGrid w:val="0"/>
        <w:spacing w:before="19"/>
        <w:rPr>
          <w:sz w:val="24"/>
        </w:rPr>
      </w:pPr>
      <w:r>
        <w:rPr>
          <w:sz w:val="24"/>
        </w:rPr>
        <w:t>七、验收标准：甲方应当在到货且安装调试完成后___10___日内对货物进行验收，验收包括：型号、规格、数量、外观质量、及货物包装是否完好，安装调试是否合格。所提供货物的装箱清单、用户手册、原厂保修卡、随机资料及配件、随机工具等是否齐全。验收时乙方必须在现场，验收合格后甲方应在验收记录上签字盖章。</w:t>
      </w:r>
    </w:p>
    <w:p w14:paraId="78CBD8D5">
      <w:pPr>
        <w:widowControl/>
        <w:snapToGrid w:val="0"/>
        <w:spacing w:before="19"/>
        <w:rPr>
          <w:sz w:val="24"/>
        </w:rPr>
      </w:pPr>
      <w:r>
        <w:rPr>
          <w:sz w:val="24"/>
        </w:rPr>
        <w:t>八、工程部分（两万元以上）需按南京邮电大学审计相关规定执行。</w:t>
      </w:r>
    </w:p>
    <w:p w14:paraId="6F5A8922">
      <w:pPr>
        <w:widowControl/>
        <w:snapToGrid w:val="0"/>
        <w:spacing w:before="19"/>
        <w:rPr>
          <w:sz w:val="24"/>
        </w:rPr>
      </w:pPr>
      <w:r>
        <w:rPr>
          <w:sz w:val="24"/>
        </w:rPr>
        <w:t>九、招投标文件为本合同的附件，与本合同具有同等法律效力（本条款适用于招投标项目）。甲乙双方商定的其他必要文件，附件与本合同不相符合之处，以本合同内容为准。上述文件内容互为补充。</w:t>
      </w:r>
    </w:p>
    <w:p w14:paraId="66E46BC5">
      <w:pPr>
        <w:widowControl/>
        <w:snapToGrid w:val="0"/>
        <w:spacing w:before="19"/>
        <w:rPr>
          <w:sz w:val="24"/>
        </w:rPr>
      </w:pPr>
      <w:r>
        <w:rPr>
          <w:sz w:val="24"/>
        </w:rPr>
        <w:t>十、违约责任</w:t>
      </w:r>
    </w:p>
    <w:p w14:paraId="5D68B360">
      <w:pPr>
        <w:widowControl/>
        <w:snapToGrid w:val="0"/>
        <w:spacing w:before="19"/>
        <w:rPr>
          <w:sz w:val="24"/>
        </w:rPr>
      </w:pPr>
      <w:r>
        <w:rPr>
          <w:sz w:val="24"/>
        </w:rPr>
        <w:t>1、甲方无正当理由拒收货物、拒付货物款的，由甲方向乙方偿付合同总价的5%违约金。如乙方不能交付货物，乙方应向甲方支付合同总价５％的违约金。</w:t>
      </w:r>
    </w:p>
    <w:p w14:paraId="21784313">
      <w:pPr>
        <w:spacing w:before="19"/>
        <w:rPr>
          <w:sz w:val="24"/>
        </w:rPr>
      </w:pPr>
      <w:r>
        <w:rPr>
          <w:sz w:val="24"/>
        </w:rPr>
        <w:t xml:space="preserve">2、乙方逾期交付货物的，乙方应按逾期交货总额每日千分之五向甲方支付违约金，由甲方从待付货款中扣除。逾期超过约定日期30个工作日不能交货的，甲方可解除本合同。乙方因逾期交货或因其他违约行为导致甲方解除合同的，乙方应向甲方支付合同总值5%的违约金，如造成甲方损失超过违约金的，超出部分由乙方继续承担赔偿责任。 </w:t>
      </w:r>
    </w:p>
    <w:p w14:paraId="4E590D40">
      <w:pPr>
        <w:spacing w:before="19"/>
        <w:rPr>
          <w:sz w:val="24"/>
        </w:rPr>
      </w:pPr>
      <w:r>
        <w:rPr>
          <w:sz w:val="24"/>
        </w:rPr>
        <w:t>3、乙方所交的货物品种、型号、规格、技术参数、质量不符合合同规定及招标文件规定标准的，甲方有权拒收该货物，乙方愿意更换货物但逾期交货的，按乙方逾期交货处理。乙方拒绝更换货物的，甲方可单方面解除合同。</w:t>
      </w:r>
    </w:p>
    <w:p w14:paraId="705B0C25">
      <w:pPr>
        <w:widowControl/>
        <w:snapToGrid w:val="0"/>
        <w:spacing w:before="19"/>
        <w:rPr>
          <w:sz w:val="24"/>
        </w:rPr>
      </w:pPr>
      <w:r>
        <w:rPr>
          <w:sz w:val="24"/>
        </w:rPr>
        <w:t>4、在乙方承诺的或国家规定的质量保证期内（取两者中最长的期限），如经乙方两次维修或更换，货物仍不能达到合同约定的质量标准，甲方有权退货，乙方应退回全部货款。同时，乙方还须赔偿甲方因此遭受的损失。</w:t>
      </w:r>
    </w:p>
    <w:p w14:paraId="507BAC7F">
      <w:pPr>
        <w:widowControl/>
        <w:snapToGrid w:val="0"/>
        <w:spacing w:before="19"/>
        <w:rPr>
          <w:sz w:val="24"/>
        </w:rPr>
      </w:pPr>
      <w:r>
        <w:rPr>
          <w:sz w:val="24"/>
        </w:rPr>
        <w:t>十一、 合同的变更和终止</w:t>
      </w:r>
    </w:p>
    <w:p w14:paraId="742BEF7B">
      <w:pPr>
        <w:widowControl/>
        <w:snapToGrid w:val="0"/>
        <w:spacing w:before="19"/>
        <w:rPr>
          <w:sz w:val="24"/>
        </w:rPr>
      </w:pPr>
      <w:r>
        <w:rPr>
          <w:sz w:val="24"/>
        </w:rPr>
        <w:t>依据《政府采购法》第五十条，本合同一经签订，甲乙双方不得擅自变更、中止或终止合同。</w:t>
      </w:r>
    </w:p>
    <w:p w14:paraId="6806010B">
      <w:pPr>
        <w:widowControl/>
        <w:snapToGrid w:val="0"/>
        <w:spacing w:before="19"/>
        <w:rPr>
          <w:sz w:val="24"/>
        </w:rPr>
      </w:pPr>
      <w:r>
        <w:rPr>
          <w:sz w:val="24"/>
        </w:rPr>
        <w:t>十二、合同的转让</w:t>
      </w:r>
    </w:p>
    <w:p w14:paraId="3E8FF4CF">
      <w:pPr>
        <w:widowControl/>
        <w:snapToGrid w:val="0"/>
        <w:spacing w:before="19"/>
        <w:rPr>
          <w:sz w:val="24"/>
        </w:rPr>
      </w:pPr>
      <w:r>
        <w:rPr>
          <w:sz w:val="24"/>
        </w:rPr>
        <w:t>乙方不得擅自部分或全部转让其应履行的合同义务。</w:t>
      </w:r>
    </w:p>
    <w:p w14:paraId="586809ED">
      <w:pPr>
        <w:widowControl/>
        <w:snapToGrid w:val="0"/>
        <w:spacing w:before="19"/>
        <w:rPr>
          <w:sz w:val="24"/>
        </w:rPr>
      </w:pPr>
      <w:r>
        <w:rPr>
          <w:sz w:val="24"/>
        </w:rPr>
        <w:t>十三、 争议的解决</w:t>
      </w:r>
    </w:p>
    <w:p w14:paraId="3353A81D">
      <w:pPr>
        <w:widowControl/>
        <w:snapToGrid w:val="0"/>
        <w:spacing w:before="19"/>
        <w:rPr>
          <w:sz w:val="24"/>
        </w:rPr>
      </w:pPr>
      <w:r>
        <w:rPr>
          <w:sz w:val="24"/>
        </w:rPr>
        <w:t>1、因货物的质量问题发生争议的，应当邀请国家认可的质量检测机构对货物质量进行鉴定。货物符合标准的，鉴定费由甲方承担；货物不符合质量标准的，鉴定费由乙方承担、并更换有问题商品或部件。</w:t>
      </w:r>
    </w:p>
    <w:p w14:paraId="5C54ECC1">
      <w:pPr>
        <w:widowControl/>
        <w:snapToGrid w:val="0"/>
        <w:spacing w:before="19"/>
        <w:rPr>
          <w:sz w:val="24"/>
        </w:rPr>
      </w:pPr>
      <w:r>
        <w:rPr>
          <w:sz w:val="24"/>
        </w:rPr>
        <w:t>2、因履行本合同引起的或与本合同有关的争议，甲、乙双方应首先通过友好协商解决，如果协商不能解决争议，任何一方均可向甲方所在地人民法院起诉解决。</w:t>
      </w:r>
    </w:p>
    <w:p w14:paraId="5479634B">
      <w:pPr>
        <w:widowControl/>
        <w:snapToGrid w:val="0"/>
        <w:spacing w:before="19"/>
        <w:rPr>
          <w:sz w:val="24"/>
        </w:rPr>
      </w:pPr>
      <w:r>
        <w:rPr>
          <w:sz w:val="24"/>
        </w:rPr>
        <w:t>十四、付款前乙方须提供</w:t>
      </w:r>
      <w:r>
        <w:rPr>
          <w:sz w:val="24"/>
          <w:u w:val="single"/>
        </w:rPr>
        <w:t>增值税专用发票</w:t>
      </w:r>
      <w:r>
        <w:rPr>
          <w:sz w:val="24"/>
        </w:rPr>
        <w:t>，总价不变。</w:t>
      </w:r>
    </w:p>
    <w:p w14:paraId="0BCFAFA0">
      <w:pPr>
        <w:widowControl/>
        <w:snapToGrid w:val="0"/>
        <w:spacing w:before="19"/>
        <w:rPr>
          <w:sz w:val="24"/>
        </w:rPr>
      </w:pPr>
      <w:r>
        <w:rPr>
          <w:sz w:val="24"/>
        </w:rPr>
        <w:t>十五、本合同由甲、乙双方共同签订，合同一式四份，甲方叁份、乙方壹份。自双方签字、盖章之日起生效。</w:t>
      </w:r>
    </w:p>
    <w:p w14:paraId="0EBB375D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>甲方                                               乙方</w:t>
      </w:r>
    </w:p>
    <w:p w14:paraId="198FD037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>单位名称：南京邮电大学                             单位名称：</w:t>
      </w:r>
      <w:r>
        <w:rPr>
          <w:rFonts w:hint="eastAsia"/>
          <w:sz w:val="18"/>
        </w:rPr>
        <w:t>杭</w:t>
      </w:r>
      <w:r>
        <w:rPr>
          <w:sz w:val="18"/>
        </w:rPr>
        <w:t>州捷孚电子技术有限公司</w:t>
      </w:r>
    </w:p>
    <w:p w14:paraId="65A44A08">
      <w:pPr>
        <w:widowControl/>
        <w:snapToGrid w:val="0"/>
        <w:spacing w:before="19" w:line="360" w:lineRule="auto"/>
        <w:ind w:left="5531" w:leftChars="148" w:hanging="5220" w:hangingChars="2900"/>
        <w:rPr>
          <w:sz w:val="18"/>
        </w:rPr>
      </w:pPr>
      <w:r>
        <w:rPr>
          <w:sz w:val="18"/>
        </w:rPr>
        <w:t>单位地址：</w:t>
      </w:r>
      <w:r>
        <w:rPr>
          <w:rFonts w:hint="eastAsia"/>
          <w:sz w:val="18"/>
        </w:rPr>
        <w:t>南京市栖霞区文苑路9号</w:t>
      </w:r>
      <w:r>
        <w:rPr>
          <w:sz w:val="18"/>
        </w:rPr>
        <w:t xml:space="preserve">                  单位地址：</w:t>
      </w:r>
      <w:r>
        <w:rPr>
          <w:rFonts w:hint="eastAsia"/>
          <w:sz w:val="18"/>
        </w:rPr>
        <w:t>浙江省杭州市余杭区五常街道爱橙街 198 号 G 号楼 7 层 710 室</w:t>
      </w:r>
    </w:p>
    <w:p w14:paraId="3E7578C4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>法定代表人：                                       法定代表人：</w:t>
      </w:r>
      <w:r>
        <w:rPr>
          <w:rFonts w:hint="eastAsia"/>
          <w:sz w:val="18"/>
        </w:rPr>
        <w:t>伊蔚</w:t>
      </w:r>
    </w:p>
    <w:p w14:paraId="0D77B143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>委托代理人（签字）：                                委托代理人（签字）：</w:t>
      </w:r>
    </w:p>
    <w:p w14:paraId="367CBD6C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>联系电话：                                         联系电话：13989890921</w:t>
      </w:r>
    </w:p>
    <w:p w14:paraId="48EC8451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>开户银行：                                         开户银行：</w:t>
      </w:r>
      <w:r>
        <w:rPr>
          <w:rFonts w:hint="eastAsia"/>
          <w:sz w:val="18"/>
        </w:rPr>
        <w:t>招商银行杭州分行营业部</w:t>
      </w:r>
    </w:p>
    <w:p w14:paraId="312640B0">
      <w:pPr>
        <w:widowControl/>
        <w:snapToGrid w:val="0"/>
        <w:spacing w:before="19" w:line="360" w:lineRule="auto"/>
        <w:ind w:firstLine="360" w:firstLineChars="200"/>
        <w:rPr>
          <w:rFonts w:hint="default" w:eastAsia="宋体"/>
          <w:sz w:val="18"/>
          <w:lang w:val="en-US" w:eastAsia="zh-CN"/>
        </w:rPr>
      </w:pPr>
      <w:r>
        <w:rPr>
          <w:sz w:val="18"/>
        </w:rPr>
        <w:t xml:space="preserve">户名： 南京邮电大学                                户名： </w:t>
      </w:r>
      <w:r>
        <w:rPr>
          <w:rFonts w:hint="eastAsia"/>
          <w:sz w:val="18"/>
          <w:lang w:val="en-US" w:eastAsia="zh-CN"/>
        </w:rPr>
        <w:t>杭州捷孚电子技术有限公司</w:t>
      </w:r>
      <w:bookmarkStart w:id="0" w:name="_GoBack"/>
      <w:bookmarkEnd w:id="0"/>
    </w:p>
    <w:p w14:paraId="3BF7C068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 xml:space="preserve">                                                   账号： 571907651810808</w:t>
      </w:r>
    </w:p>
    <w:p w14:paraId="19746C14">
      <w:pPr>
        <w:widowControl/>
        <w:snapToGrid w:val="0"/>
        <w:spacing w:before="19" w:line="360" w:lineRule="auto"/>
        <w:ind w:firstLine="360" w:firstLineChars="200"/>
        <w:rPr>
          <w:rFonts w:hint="eastAsia"/>
          <w:sz w:val="18"/>
        </w:rPr>
      </w:pPr>
      <w:r>
        <w:rPr>
          <w:sz w:val="18"/>
        </w:rPr>
        <w:t xml:space="preserve">                                                  </w:t>
      </w:r>
      <w:r>
        <w:rPr>
          <w:rFonts w:hint="eastAsia"/>
          <w:sz w:val="18"/>
          <w:lang w:val="en-US" w:eastAsia="zh-CN"/>
        </w:rPr>
        <w:t xml:space="preserve"> </w:t>
      </w:r>
      <w:r>
        <w:rPr>
          <w:rFonts w:hint="eastAsia"/>
          <w:sz w:val="18"/>
        </w:rPr>
        <w:t>联行号：308331012020</w:t>
      </w:r>
    </w:p>
    <w:p w14:paraId="0C765105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>地址、电话：南京市栖霞区文苑路9号</w:t>
      </w:r>
      <w:r>
        <w:rPr>
          <w:rFonts w:hint="eastAsia"/>
          <w:sz w:val="18"/>
        </w:rPr>
        <w:t xml:space="preserve"> </w:t>
      </w:r>
      <w:r>
        <w:rPr>
          <w:sz w:val="18"/>
        </w:rPr>
        <w:t>025-85866388    项目联系人：</w:t>
      </w:r>
      <w:r>
        <w:rPr>
          <w:rFonts w:hint="eastAsia"/>
          <w:sz w:val="18"/>
        </w:rPr>
        <w:t>刘婷</w:t>
      </w:r>
    </w:p>
    <w:p w14:paraId="45C1A08E">
      <w:pPr>
        <w:widowControl/>
        <w:snapToGrid w:val="0"/>
        <w:spacing w:before="19" w:line="360" w:lineRule="auto"/>
        <w:ind w:firstLine="360" w:firstLineChars="200"/>
        <w:rPr>
          <w:sz w:val="18"/>
        </w:rPr>
      </w:pPr>
      <w:r>
        <w:rPr>
          <w:sz w:val="18"/>
        </w:rPr>
        <w:t>签约日期（即合同生效日期）：    年     月     日    联系电话：13770763114</w:t>
      </w:r>
    </w:p>
    <w:p w14:paraId="5BFD899B">
      <w:pPr>
        <w:widowControl/>
        <w:snapToGrid w:val="0"/>
        <w:spacing w:before="19" w:line="360" w:lineRule="auto"/>
        <w:ind w:firstLine="360" w:firstLineChars="200"/>
        <w:rPr>
          <w:rFonts w:hint="eastAsia"/>
          <w:sz w:val="18"/>
        </w:rPr>
      </w:pPr>
      <w:r>
        <w:rPr>
          <w:sz w:val="18"/>
        </w:rPr>
        <w:t xml:space="preserve">                        </w:t>
      </w:r>
    </w:p>
    <w:sectPr>
      <w:headerReference r:id="rId3" w:type="default"/>
      <w:pgSz w:w="11906" w:h="16838"/>
      <w:pgMar w:top="935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B9F2E">
    <w:pPr>
      <w:pStyle w:val="16"/>
      <w:pBdr>
        <w:bottom w:val="none" w:color="auto" w:sz="0" w:space="0"/>
      </w:pBdr>
      <w:tabs>
        <w:tab w:val="center" w:pos="4153"/>
        <w:tab w:val="right" w:pos="8306"/>
      </w:tabs>
    </w:pPr>
    <w:r>
      <w:rPr>
        <w:rFonts w:hint="eastAsia" w:ascii="仿宋_GB2312"/>
        <w:sz w:val="24"/>
      </w:rPr>
      <w:t xml:space="preserve">                                         合同编号：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D750231"/>
    <w:multiLevelType w:val="multilevel"/>
    <w:tmpl w:val="6D750231"/>
    <w:lvl w:ilvl="0" w:tentative="0">
      <w:start w:val="1"/>
      <w:numFmt w:val="chineseCountingThousand"/>
      <w:pStyle w:val="2"/>
      <w:lvlText w:val="第%1章"/>
      <w:legacy w:legacy="1" w:legacySpace="0" w:legacyIndent="0"/>
      <w:lvlJc w:val="center"/>
    </w:lvl>
    <w:lvl w:ilvl="1" w:tentative="0">
      <w:start w:val="1"/>
      <w:numFmt w:val="chineseCountingThousand"/>
      <w:pStyle w:val="3"/>
      <w:lvlText w:val="%2、"/>
      <w:legacy w:legacy="1" w:legacySpace="0" w:legacyIndent="0"/>
      <w:lvlJc w:val="left"/>
    </w:lvl>
    <w:lvl w:ilvl="2" w:tentative="0">
      <w:start w:val="1"/>
      <w:numFmt w:val="decimal"/>
      <w:pStyle w:val="4"/>
      <w:lvlText w:val="%3."/>
      <w:legacy w:legacy="1" w:legacySpace="0" w:legacyIndent="0"/>
      <w:lvlJc w:val="left"/>
      <w:rPr>
        <w:rFonts w:hint="eastAsia" w:ascii="宋体" w:eastAsia="宋体"/>
        <w:b w:val="0"/>
        <w:i w:val="0"/>
        <w:sz w:val="28"/>
      </w:rPr>
    </w:lvl>
    <w:lvl w:ilvl="3" w:tentative="0">
      <w:start w:val="1"/>
      <w:numFmt w:val="none"/>
      <w:pStyle w:val="5"/>
      <w:suff w:val="nothing"/>
      <w:lvlText w:val=""/>
      <w:lvlJc w:val="left"/>
    </w:lvl>
    <w:lvl w:ilvl="4" w:tentative="0">
      <w:start w:val="1"/>
      <w:numFmt w:val="none"/>
      <w:pStyle w:val="6"/>
      <w:suff w:val="nothing"/>
      <w:lvlText w:val=""/>
      <w:lvlJc w:val="left"/>
    </w:lvl>
    <w:lvl w:ilvl="5" w:tentative="0">
      <w:start w:val="1"/>
      <w:numFmt w:val="none"/>
      <w:pStyle w:val="7"/>
      <w:suff w:val="nothing"/>
      <w:lvlText w:val=""/>
      <w:lvlJc w:val="left"/>
    </w:lvl>
    <w:lvl w:ilvl="6" w:tentative="0">
      <w:start w:val="1"/>
      <w:numFmt w:val="none"/>
      <w:pStyle w:val="8"/>
      <w:suff w:val="nothing"/>
      <w:lvlText w:val=""/>
      <w:lvlJc w:val="left"/>
    </w:lvl>
    <w:lvl w:ilvl="7" w:tentative="0">
      <w:start w:val="1"/>
      <w:numFmt w:val="none"/>
      <w:pStyle w:val="9"/>
      <w:suff w:val="nothing"/>
      <w:lvlText w:val=""/>
      <w:lvlJc w:val="left"/>
    </w:lvl>
    <w:lvl w:ilvl="8" w:tentative="0">
      <w:start w:val="1"/>
      <w:numFmt w:val="none"/>
      <w:pStyle w:val="10"/>
      <w:suff w:val="nothing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570DDC"/>
    <w:rsid w:val="55B734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unhideWhenUsed="0" w:uiPriority="0" w:semiHidden="0" w:name="heading 8"/>
    <w:lsdException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numPr>
        <w:ilvl w:val="0"/>
        <w:numId w:val="1"/>
      </w:numPr>
      <w:adjustRightInd w:val="0"/>
      <w:spacing w:before="340" w:after="330" w:line="578" w:lineRule="atLeast"/>
      <w:textAlignment w:val="baseline"/>
      <w:outlineLvl w:val="0"/>
    </w:pPr>
    <w:rPr>
      <w:b/>
      <w:kern w:val="44"/>
      <w:sz w:val="44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adjustRightInd w:val="0"/>
      <w:spacing w:before="260" w:after="260" w:line="416" w:lineRule="atLeast"/>
      <w:textAlignment w:val="baseline"/>
      <w:outlineLvl w:val="1"/>
    </w:pPr>
    <w:rPr>
      <w:rFonts w:ascii="Arial" w:hAnsi="Arial" w:eastAsia="黑体"/>
      <w:b/>
      <w:kern w:val="0"/>
      <w:sz w:val="32"/>
      <w:szCs w:val="20"/>
    </w:rPr>
  </w:style>
  <w:style w:type="paragraph" w:styleId="4">
    <w:name w:val="heading 3"/>
    <w:basedOn w:val="1"/>
    <w:next w:val="1"/>
    <w:uiPriority w:val="0"/>
    <w:pPr>
      <w:keepNext/>
      <w:keepLines/>
      <w:numPr>
        <w:ilvl w:val="2"/>
        <w:numId w:val="1"/>
      </w:numPr>
      <w:adjustRightInd w:val="0"/>
      <w:spacing w:before="260" w:after="260" w:line="416" w:lineRule="atLeast"/>
      <w:textAlignment w:val="baseline"/>
      <w:outlineLvl w:val="2"/>
    </w:pPr>
    <w:rPr>
      <w:b/>
      <w:kern w:val="0"/>
      <w:sz w:val="32"/>
      <w:szCs w:val="20"/>
    </w:rPr>
  </w:style>
  <w:style w:type="paragraph" w:styleId="5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adjustRightInd w:val="0"/>
      <w:spacing w:before="280" w:after="290" w:line="376" w:lineRule="atLeast"/>
      <w:textAlignment w:val="baseline"/>
      <w:outlineLvl w:val="3"/>
    </w:pPr>
    <w:rPr>
      <w:rFonts w:ascii="Arial" w:hAnsi="Arial" w:eastAsia="黑体"/>
      <w:b/>
      <w:kern w:val="0"/>
      <w:sz w:val="28"/>
      <w:szCs w:val="20"/>
    </w:rPr>
  </w:style>
  <w:style w:type="paragraph" w:styleId="6">
    <w:name w:val="heading 5"/>
    <w:basedOn w:val="1"/>
    <w:next w:val="1"/>
    <w:qFormat/>
    <w:uiPriority w:val="0"/>
    <w:pPr>
      <w:keepNext/>
      <w:keepLines/>
      <w:numPr>
        <w:ilvl w:val="4"/>
        <w:numId w:val="1"/>
      </w:numPr>
      <w:adjustRightInd w:val="0"/>
      <w:spacing w:before="280" w:after="290" w:line="376" w:lineRule="atLeast"/>
      <w:textAlignment w:val="baseline"/>
      <w:outlineLvl w:val="4"/>
    </w:pPr>
    <w:rPr>
      <w:b/>
      <w:kern w:val="0"/>
      <w:sz w:val="28"/>
      <w:szCs w:val="20"/>
    </w:rPr>
  </w:style>
  <w:style w:type="paragraph" w:styleId="7">
    <w:name w:val="heading 6"/>
    <w:basedOn w:val="1"/>
    <w:next w:val="1"/>
    <w:qFormat/>
    <w:uiPriority w:val="0"/>
    <w:pPr>
      <w:keepNext/>
      <w:keepLines/>
      <w:numPr>
        <w:ilvl w:val="5"/>
        <w:numId w:val="1"/>
      </w:numPr>
      <w:adjustRightInd w:val="0"/>
      <w:spacing w:before="240" w:after="64" w:line="320" w:lineRule="atLeast"/>
      <w:textAlignment w:val="baseline"/>
      <w:outlineLvl w:val="5"/>
    </w:pPr>
    <w:rPr>
      <w:rFonts w:ascii="Arial" w:hAnsi="Arial" w:eastAsia="黑体"/>
      <w:b/>
      <w:kern w:val="0"/>
      <w:sz w:val="24"/>
      <w:szCs w:val="20"/>
    </w:rPr>
  </w:style>
  <w:style w:type="paragraph" w:styleId="8">
    <w:name w:val="heading 7"/>
    <w:basedOn w:val="1"/>
    <w:next w:val="1"/>
    <w:qFormat/>
    <w:uiPriority w:val="0"/>
    <w:pPr>
      <w:keepNext/>
      <w:keepLines/>
      <w:numPr>
        <w:ilvl w:val="6"/>
        <w:numId w:val="1"/>
      </w:numPr>
      <w:adjustRightInd w:val="0"/>
      <w:spacing w:before="240" w:after="64" w:line="320" w:lineRule="atLeast"/>
      <w:textAlignment w:val="baseline"/>
      <w:outlineLvl w:val="6"/>
    </w:pPr>
    <w:rPr>
      <w:b/>
      <w:kern w:val="0"/>
      <w:sz w:val="24"/>
      <w:szCs w:val="20"/>
    </w:rPr>
  </w:style>
  <w:style w:type="paragraph" w:styleId="9">
    <w:name w:val="heading 8"/>
    <w:basedOn w:val="1"/>
    <w:next w:val="1"/>
    <w:uiPriority w:val="0"/>
    <w:pPr>
      <w:keepNext/>
      <w:keepLines/>
      <w:numPr>
        <w:ilvl w:val="7"/>
        <w:numId w:val="1"/>
      </w:numPr>
      <w:adjustRightInd w:val="0"/>
      <w:spacing w:before="240" w:after="64" w:line="320" w:lineRule="atLeast"/>
      <w:textAlignment w:val="baseline"/>
      <w:outlineLvl w:val="7"/>
    </w:pPr>
    <w:rPr>
      <w:rFonts w:ascii="Arial" w:hAnsi="Arial" w:eastAsia="黑体"/>
      <w:kern w:val="0"/>
      <w:sz w:val="24"/>
      <w:szCs w:val="20"/>
    </w:rPr>
  </w:style>
  <w:style w:type="paragraph" w:styleId="10">
    <w:name w:val="heading 9"/>
    <w:basedOn w:val="1"/>
    <w:next w:val="1"/>
    <w:uiPriority w:val="0"/>
    <w:pPr>
      <w:keepNext/>
      <w:keepLines/>
      <w:numPr>
        <w:ilvl w:val="8"/>
        <w:numId w:val="1"/>
      </w:numPr>
      <w:adjustRightInd w:val="0"/>
      <w:spacing w:before="240" w:after="64" w:line="320" w:lineRule="atLeast"/>
      <w:textAlignment w:val="baseline"/>
      <w:outlineLvl w:val="8"/>
    </w:pPr>
    <w:rPr>
      <w:rFonts w:ascii="Arial" w:hAnsi="Arial" w:eastAsia="黑体"/>
      <w:kern w:val="0"/>
      <w:szCs w:val="20"/>
    </w:rPr>
  </w:style>
  <w:style w:type="character" w:default="1" w:styleId="18">
    <w:name w:val="Default Paragraph Font"/>
    <w:qFormat/>
    <w:uiPriority w:val="0"/>
  </w:style>
  <w:style w:type="table" w:default="1" w:styleId="17">
    <w:name w:val="Normal Table"/>
    <w:qFormat/>
    <w:uiPriority w:val="0"/>
    <w:rPr>
      <w:lang w:val="en-US" w:eastAsia="zh-CN" w:bidi="ar-S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25"/>
    <w:uiPriority w:val="0"/>
    <w:pPr>
      <w:jc w:val="left"/>
    </w:pPr>
  </w:style>
  <w:style w:type="paragraph" w:styleId="12">
    <w:name w:val="Body Text"/>
    <w:basedOn w:val="1"/>
    <w:qFormat/>
    <w:uiPriority w:val="0"/>
    <w:pPr>
      <w:spacing w:after="120"/>
    </w:pPr>
  </w:style>
  <w:style w:type="paragraph" w:styleId="13">
    <w:name w:val="Plain Tex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14">
    <w:name w:val="Balloon Text"/>
    <w:basedOn w:val="1"/>
    <w:uiPriority w:val="0"/>
    <w:rPr>
      <w:sz w:val="18"/>
      <w:szCs w:val="18"/>
    </w:rPr>
  </w:style>
  <w:style w:type="paragraph" w:styleId="15">
    <w:name w:val="footer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26"/>
    <w:uiPriority w:val="0"/>
    <w:pPr>
      <w:pBdr>
        <w:bottom w:val="single" w:color="auto" w:sz="6" w:space="1"/>
      </w:pBdr>
      <w:snapToGrid w:val="0"/>
      <w:jc w:val="center"/>
    </w:pPr>
    <w:rPr>
      <w:sz w:val="18"/>
      <w:szCs w:val="18"/>
    </w:rPr>
  </w:style>
  <w:style w:type="character" w:styleId="19">
    <w:name w:val="Strong"/>
    <w:qFormat/>
    <w:uiPriority w:val="0"/>
    <w:rPr>
      <w:b/>
    </w:rPr>
  </w:style>
  <w:style w:type="character" w:styleId="20">
    <w:name w:val="Hyperlink"/>
    <w:qFormat/>
    <w:uiPriority w:val="0"/>
    <w:rPr>
      <w:color w:val="0000FF"/>
      <w:u w:val="single"/>
    </w:rPr>
  </w:style>
  <w:style w:type="character" w:styleId="21">
    <w:name w:val="annotation reference"/>
    <w:uiPriority w:val="0"/>
    <w:rPr>
      <w:sz w:val="21"/>
      <w:szCs w:val="21"/>
    </w:rPr>
  </w:style>
  <w:style w:type="paragraph" w:customStyle="1" w:styleId="2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/>
      <w:kern w:val="0"/>
      <w:sz w:val="24"/>
    </w:rPr>
  </w:style>
  <w:style w:type="paragraph" w:customStyle="1" w:styleId="23">
    <w:name w:val="annotation subject"/>
    <w:basedOn w:val="11"/>
    <w:next w:val="11"/>
    <w:qFormat/>
    <w:uiPriority w:val="0"/>
    <w:rPr>
      <w:b/>
    </w:rPr>
  </w:style>
  <w:style w:type="paragraph" w:customStyle="1" w:styleId="24">
    <w:name w:val="Body Text First Indent"/>
    <w:basedOn w:val="12"/>
    <w:qFormat/>
    <w:uiPriority w:val="0"/>
    <w:pPr>
      <w:ind w:firstLine="420" w:firstLineChars="100"/>
    </w:pPr>
  </w:style>
  <w:style w:type="character" w:customStyle="1" w:styleId="25">
    <w:name w:val="批注文字 字符"/>
    <w:link w:val="11"/>
    <w:qFormat/>
    <w:uiPriority w:val="0"/>
    <w:rPr>
      <w:kern w:val="2"/>
      <w:sz w:val="21"/>
      <w:szCs w:val="24"/>
    </w:rPr>
  </w:style>
  <w:style w:type="character" w:customStyle="1" w:styleId="26">
    <w:name w:val="页眉 字符"/>
    <w:link w:val="16"/>
    <w:qFormat/>
    <w:uiPriority w:val="0"/>
    <w:rPr>
      <w:kern w:val="2"/>
      <w:sz w:val="18"/>
      <w:szCs w:val="18"/>
    </w:rPr>
  </w:style>
  <w:style w:type="paragraph" w:customStyle="1" w:styleId="27">
    <w:name w:val="Char"/>
    <w:basedOn w:val="1"/>
    <w:qFormat/>
    <w:uiPriority w:val="0"/>
    <w:rPr>
      <w:rFonts w:ascii="仿宋_GB2312" w:eastAsia="仿宋_GB2312"/>
      <w:b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1951</Words>
  <Characters>2273</Characters>
  <Lines>20</Lines>
  <Paragraphs>5</Paragraphs>
  <TotalTime>1</TotalTime>
  <ScaleCrop>false</ScaleCrop>
  <LinksUpToDate>false</LinksUpToDate>
  <CharactersWithSpaces>2811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2024-09-26T03:40:00Z</dcterms:created>
  <dc:creator>Lenovo</dc:creator>
  <cp:lastModifiedBy>王婉婕</cp:lastModifiedBy>
  <dcterms:modified xsi:type="dcterms:W3CDTF">2025-12-18T01:30:27Z</dcterms:modified>
  <dc:title>省级政府采购询价采购合同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ADD99165A3074D53AC435A34C62898E5_13</vt:lpwstr>
  </property>
  <property fmtid="{D5CDD505-2E9C-101B-9397-08002B2CF9AE}" pid="4" name="KSOTemplateDocerSaveRecord">
    <vt:lpwstr>eyJoZGlkIjoiZGIxYjVmNDNiYzg0NGE5MTVmNTA3ZjExNTJkNzU0NDkiLCJ1c2VySWQiOiI0MTM1NzEyNjEifQ==</vt:lpwstr>
  </property>
</Properties>
</file>